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3A" w:rsidRDefault="00F1620B" w:rsidP="00E23078">
      <w:pPr>
        <w:spacing w:line="360" w:lineRule="auto"/>
        <w:rPr>
          <w:lang w:val="tr-TR"/>
        </w:rPr>
      </w:pPr>
      <w:r w:rsidRPr="00F1620B">
        <w:rPr>
          <w:b/>
          <w:lang w:val="tr-TR"/>
        </w:rPr>
        <w:t>Table 1.</w:t>
      </w:r>
      <w:r>
        <w:rPr>
          <w:lang w:val="tr-TR"/>
        </w:rPr>
        <w:t xml:space="preserve"> The ideal responses to </w:t>
      </w:r>
      <w:r w:rsidR="00F777AB">
        <w:rPr>
          <w:lang w:val="tr-TR"/>
        </w:rPr>
        <w:t>the tyrosine kinase inhibitor (</w:t>
      </w:r>
      <w:r>
        <w:rPr>
          <w:lang w:val="tr-TR"/>
        </w:rPr>
        <w:t>TKI</w:t>
      </w:r>
      <w:r w:rsidR="00F777AB">
        <w:rPr>
          <w:lang w:val="tr-TR"/>
        </w:rPr>
        <w:t>)</w:t>
      </w:r>
      <w:r>
        <w:rPr>
          <w:lang w:val="tr-TR"/>
        </w:rPr>
        <w:t xml:space="preserve"> treatment detectable during the long-term monitoring of chronic myeloid leukemia (CML) 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387FBC" w:rsidRPr="00387FBC" w:rsidTr="00F1620B">
        <w:tc>
          <w:tcPr>
            <w:tcW w:w="1842" w:type="dxa"/>
          </w:tcPr>
          <w:p w:rsidR="00387FBC" w:rsidRPr="00387FBC" w:rsidRDefault="00387FBC" w:rsidP="00E23078">
            <w:pPr>
              <w:spacing w:line="480" w:lineRule="auto"/>
              <w:rPr>
                <w:b/>
                <w:lang w:val="tr-TR"/>
              </w:rPr>
            </w:pPr>
          </w:p>
        </w:tc>
        <w:tc>
          <w:tcPr>
            <w:tcW w:w="1842" w:type="dxa"/>
          </w:tcPr>
          <w:p w:rsidR="00387FBC" w:rsidRPr="00387FBC" w:rsidRDefault="00387FBC" w:rsidP="00E23078">
            <w:pPr>
              <w:spacing w:line="480" w:lineRule="auto"/>
              <w:rPr>
                <w:b/>
                <w:lang w:val="tr-TR"/>
              </w:rPr>
            </w:pPr>
            <w:r w:rsidRPr="00387FBC">
              <w:rPr>
                <w:b/>
                <w:lang w:val="tr-TR"/>
              </w:rPr>
              <w:t>Ideal response at the 3rd month of TKI</w:t>
            </w:r>
          </w:p>
        </w:tc>
        <w:tc>
          <w:tcPr>
            <w:tcW w:w="1842" w:type="dxa"/>
          </w:tcPr>
          <w:p w:rsidR="00387FBC" w:rsidRPr="00387FBC" w:rsidRDefault="00387FBC" w:rsidP="00E23078">
            <w:pPr>
              <w:spacing w:line="480" w:lineRule="auto"/>
              <w:rPr>
                <w:b/>
                <w:lang w:val="tr-TR"/>
              </w:rPr>
            </w:pPr>
            <w:r w:rsidRPr="00387FBC">
              <w:rPr>
                <w:b/>
                <w:lang w:val="tr-TR"/>
              </w:rPr>
              <w:t xml:space="preserve">Ideal response </w:t>
            </w:r>
            <w:r w:rsidRPr="00387FBC">
              <w:rPr>
                <w:b/>
                <w:lang w:val="tr-TR"/>
              </w:rPr>
              <w:t xml:space="preserve">at the </w:t>
            </w:r>
            <w:r w:rsidRPr="00387FBC">
              <w:rPr>
                <w:b/>
                <w:lang w:val="tr-TR"/>
              </w:rPr>
              <w:t>6th</w:t>
            </w:r>
            <w:r w:rsidRPr="00387FBC">
              <w:rPr>
                <w:b/>
                <w:lang w:val="tr-TR"/>
              </w:rPr>
              <w:t xml:space="preserve"> month of TKI</w:t>
            </w:r>
          </w:p>
        </w:tc>
        <w:tc>
          <w:tcPr>
            <w:tcW w:w="1843" w:type="dxa"/>
          </w:tcPr>
          <w:p w:rsidR="00387FBC" w:rsidRPr="00387FBC" w:rsidRDefault="00387FBC" w:rsidP="00E23078">
            <w:pPr>
              <w:spacing w:line="480" w:lineRule="auto"/>
              <w:rPr>
                <w:b/>
                <w:lang w:val="tr-TR"/>
              </w:rPr>
            </w:pPr>
            <w:r w:rsidRPr="00387FBC">
              <w:rPr>
                <w:b/>
                <w:lang w:val="tr-TR"/>
              </w:rPr>
              <w:t xml:space="preserve">Ideal response </w:t>
            </w:r>
            <w:r w:rsidRPr="00387FBC">
              <w:rPr>
                <w:b/>
                <w:lang w:val="tr-TR"/>
              </w:rPr>
              <w:t xml:space="preserve">at the </w:t>
            </w:r>
            <w:r w:rsidRPr="00387FBC">
              <w:rPr>
                <w:b/>
                <w:lang w:val="tr-TR"/>
              </w:rPr>
              <w:t>12th</w:t>
            </w:r>
            <w:r w:rsidRPr="00387FBC">
              <w:rPr>
                <w:b/>
                <w:lang w:val="tr-TR"/>
              </w:rPr>
              <w:t xml:space="preserve"> month of TKI</w:t>
            </w:r>
          </w:p>
        </w:tc>
        <w:tc>
          <w:tcPr>
            <w:tcW w:w="1843" w:type="dxa"/>
          </w:tcPr>
          <w:p w:rsidR="00387FBC" w:rsidRPr="00387FBC" w:rsidRDefault="00387FBC" w:rsidP="00E23078">
            <w:pPr>
              <w:spacing w:line="480" w:lineRule="auto"/>
              <w:rPr>
                <w:b/>
                <w:lang w:val="tr-TR"/>
              </w:rPr>
            </w:pPr>
            <w:r w:rsidRPr="00387FBC">
              <w:rPr>
                <w:b/>
                <w:lang w:val="tr-TR"/>
              </w:rPr>
              <w:t xml:space="preserve">Ideal response </w:t>
            </w:r>
            <w:r w:rsidRPr="00387FBC">
              <w:rPr>
                <w:b/>
                <w:lang w:val="tr-TR"/>
              </w:rPr>
              <w:t>a</w:t>
            </w:r>
            <w:r w:rsidRPr="00387FBC">
              <w:rPr>
                <w:b/>
                <w:lang w:val="tr-TR"/>
              </w:rPr>
              <w:t>fter</w:t>
            </w:r>
            <w:r w:rsidRPr="00387FBC">
              <w:rPr>
                <w:b/>
                <w:lang w:val="tr-TR"/>
              </w:rPr>
              <w:t xml:space="preserve"> </w:t>
            </w:r>
            <w:r w:rsidRPr="00387FBC">
              <w:rPr>
                <w:b/>
                <w:lang w:val="tr-TR"/>
              </w:rPr>
              <w:t>one year</w:t>
            </w:r>
            <w:r w:rsidRPr="00387FBC">
              <w:rPr>
                <w:b/>
                <w:lang w:val="tr-TR"/>
              </w:rPr>
              <w:t xml:space="preserve"> of TKI</w:t>
            </w:r>
            <w:r w:rsidR="00F777AB">
              <w:rPr>
                <w:b/>
                <w:lang w:val="tr-TR"/>
              </w:rPr>
              <w:t xml:space="preserve"> and thereafter</w:t>
            </w:r>
          </w:p>
        </w:tc>
      </w:tr>
      <w:tr w:rsidR="00387FBC" w:rsidTr="00F1620B">
        <w:tc>
          <w:tcPr>
            <w:tcW w:w="1842" w:type="dxa"/>
          </w:tcPr>
          <w:p w:rsidR="00387FBC" w:rsidRPr="00387FBC" w:rsidRDefault="00387FBC" w:rsidP="00E23078">
            <w:pPr>
              <w:spacing w:line="480" w:lineRule="auto"/>
              <w:rPr>
                <w:b/>
                <w:lang w:val="tr-TR"/>
              </w:rPr>
            </w:pPr>
            <w:r w:rsidRPr="00387FBC">
              <w:rPr>
                <w:b/>
                <w:lang w:val="tr-TR"/>
              </w:rPr>
              <w:t>Hematological monitoring</w:t>
            </w:r>
          </w:p>
        </w:tc>
        <w:tc>
          <w:tcPr>
            <w:tcW w:w="1842" w:type="dxa"/>
          </w:tcPr>
          <w:p w:rsidR="00387FBC" w:rsidRDefault="00387FBC" w:rsidP="00E23078">
            <w:pPr>
              <w:spacing w:line="480" w:lineRule="auto"/>
              <w:rPr>
                <w:lang w:val="tr-TR"/>
              </w:rPr>
            </w:pPr>
            <w:r>
              <w:rPr>
                <w:lang w:val="tr-TR"/>
              </w:rPr>
              <w:t>CHR</w:t>
            </w:r>
          </w:p>
        </w:tc>
        <w:tc>
          <w:tcPr>
            <w:tcW w:w="1842" w:type="dxa"/>
          </w:tcPr>
          <w:p w:rsidR="00387FBC" w:rsidRDefault="00387FBC" w:rsidP="00E23078">
            <w:pPr>
              <w:spacing w:line="480" w:lineRule="auto"/>
              <w:rPr>
                <w:lang w:val="tr-TR"/>
              </w:rPr>
            </w:pPr>
            <w:r>
              <w:rPr>
                <w:lang w:val="tr-TR"/>
              </w:rPr>
              <w:t>CHR</w:t>
            </w:r>
          </w:p>
        </w:tc>
        <w:tc>
          <w:tcPr>
            <w:tcW w:w="1843" w:type="dxa"/>
          </w:tcPr>
          <w:p w:rsidR="00387FBC" w:rsidRDefault="00387FBC" w:rsidP="00E23078">
            <w:pPr>
              <w:spacing w:line="480" w:lineRule="auto"/>
              <w:rPr>
                <w:lang w:val="tr-TR"/>
              </w:rPr>
            </w:pPr>
            <w:r>
              <w:rPr>
                <w:lang w:val="tr-TR"/>
              </w:rPr>
              <w:t>CHR</w:t>
            </w:r>
          </w:p>
        </w:tc>
        <w:tc>
          <w:tcPr>
            <w:tcW w:w="1843" w:type="dxa"/>
          </w:tcPr>
          <w:p w:rsidR="00387FBC" w:rsidRDefault="00387FBC" w:rsidP="00E23078">
            <w:pPr>
              <w:spacing w:line="480" w:lineRule="auto"/>
              <w:rPr>
                <w:lang w:val="tr-TR"/>
              </w:rPr>
            </w:pPr>
            <w:r>
              <w:rPr>
                <w:lang w:val="tr-TR"/>
              </w:rPr>
              <w:t>CHR</w:t>
            </w:r>
          </w:p>
        </w:tc>
      </w:tr>
      <w:tr w:rsidR="00387FBC" w:rsidTr="00F1620B">
        <w:tc>
          <w:tcPr>
            <w:tcW w:w="1842" w:type="dxa"/>
          </w:tcPr>
          <w:p w:rsidR="00387FBC" w:rsidRPr="00387FBC" w:rsidRDefault="00387FBC" w:rsidP="00E23078">
            <w:pPr>
              <w:spacing w:line="480" w:lineRule="auto"/>
              <w:rPr>
                <w:b/>
                <w:lang w:val="tr-TR"/>
              </w:rPr>
            </w:pPr>
            <w:r w:rsidRPr="00387FBC">
              <w:rPr>
                <w:b/>
                <w:lang w:val="tr-TR"/>
              </w:rPr>
              <w:t>Cytogenetic monitoring</w:t>
            </w:r>
          </w:p>
        </w:tc>
        <w:tc>
          <w:tcPr>
            <w:tcW w:w="1842" w:type="dxa"/>
          </w:tcPr>
          <w:p w:rsidR="00387FBC" w:rsidRDefault="00387FBC" w:rsidP="00E23078">
            <w:pPr>
              <w:spacing w:line="480" w:lineRule="auto"/>
              <w:rPr>
                <w:lang w:val="tr-TR"/>
              </w:rPr>
            </w:pPr>
            <w:r>
              <w:rPr>
                <w:lang w:val="tr-TR"/>
              </w:rPr>
              <w:t>MCyR</w:t>
            </w:r>
          </w:p>
        </w:tc>
        <w:tc>
          <w:tcPr>
            <w:tcW w:w="1842" w:type="dxa"/>
          </w:tcPr>
          <w:p w:rsidR="00387FBC" w:rsidRDefault="00387FBC" w:rsidP="00E23078">
            <w:pPr>
              <w:spacing w:line="480" w:lineRule="auto"/>
              <w:rPr>
                <w:lang w:val="tr-TR"/>
              </w:rPr>
            </w:pPr>
            <w:r>
              <w:rPr>
                <w:lang w:val="tr-TR"/>
              </w:rPr>
              <w:t>CCyR</w:t>
            </w:r>
          </w:p>
        </w:tc>
        <w:tc>
          <w:tcPr>
            <w:tcW w:w="1843" w:type="dxa"/>
          </w:tcPr>
          <w:p w:rsidR="00387FBC" w:rsidRDefault="00387FBC" w:rsidP="00E23078">
            <w:pPr>
              <w:spacing w:line="480" w:lineRule="auto"/>
              <w:rPr>
                <w:lang w:val="tr-TR"/>
              </w:rPr>
            </w:pPr>
            <w:r>
              <w:rPr>
                <w:lang w:val="tr-TR"/>
              </w:rPr>
              <w:t>CCyR</w:t>
            </w:r>
          </w:p>
        </w:tc>
        <w:tc>
          <w:tcPr>
            <w:tcW w:w="1843" w:type="dxa"/>
          </w:tcPr>
          <w:p w:rsidR="00387FBC" w:rsidRDefault="00387FBC" w:rsidP="00E23078">
            <w:pPr>
              <w:spacing w:line="480" w:lineRule="auto"/>
              <w:rPr>
                <w:lang w:val="tr-TR"/>
              </w:rPr>
            </w:pPr>
            <w:r>
              <w:rPr>
                <w:lang w:val="tr-TR"/>
              </w:rPr>
              <w:t>CCyR</w:t>
            </w:r>
          </w:p>
        </w:tc>
      </w:tr>
      <w:tr w:rsidR="00387FBC" w:rsidTr="00F1620B">
        <w:tc>
          <w:tcPr>
            <w:tcW w:w="1842" w:type="dxa"/>
          </w:tcPr>
          <w:p w:rsidR="00387FBC" w:rsidRPr="00387FBC" w:rsidRDefault="00387FBC" w:rsidP="00E23078">
            <w:pPr>
              <w:spacing w:line="480" w:lineRule="auto"/>
              <w:rPr>
                <w:b/>
                <w:lang w:val="tr-TR"/>
              </w:rPr>
            </w:pPr>
            <w:r w:rsidRPr="00387FBC">
              <w:rPr>
                <w:b/>
                <w:lang w:val="tr-TR"/>
              </w:rPr>
              <w:t>Molecular monitoring</w:t>
            </w:r>
          </w:p>
        </w:tc>
        <w:tc>
          <w:tcPr>
            <w:tcW w:w="1842" w:type="dxa"/>
          </w:tcPr>
          <w:p w:rsidR="00387FBC" w:rsidRDefault="00387FBC" w:rsidP="00E23078">
            <w:pPr>
              <w:spacing w:line="480" w:lineRule="auto"/>
              <w:rPr>
                <w:lang w:val="tr-TR"/>
              </w:rPr>
            </w:pPr>
            <w:r>
              <w:rPr>
                <w:lang w:val="tr-TR"/>
              </w:rPr>
              <w:t>BCR-ABL/ABL below 10%</w:t>
            </w:r>
          </w:p>
        </w:tc>
        <w:tc>
          <w:tcPr>
            <w:tcW w:w="1842" w:type="dxa"/>
          </w:tcPr>
          <w:p w:rsidR="00387FBC" w:rsidRDefault="00387FBC" w:rsidP="00E23078">
            <w:pPr>
              <w:spacing w:line="480" w:lineRule="auto"/>
              <w:rPr>
                <w:lang w:val="tr-TR"/>
              </w:rPr>
            </w:pPr>
            <w:r>
              <w:rPr>
                <w:lang w:val="tr-TR"/>
              </w:rPr>
              <w:t>BCR-ABL/ABL below 10%</w:t>
            </w:r>
          </w:p>
        </w:tc>
        <w:tc>
          <w:tcPr>
            <w:tcW w:w="1843" w:type="dxa"/>
          </w:tcPr>
          <w:p w:rsidR="00387FBC" w:rsidRDefault="00387FBC" w:rsidP="00E23078">
            <w:pPr>
              <w:spacing w:line="480" w:lineRule="auto"/>
              <w:rPr>
                <w:lang w:val="tr-TR"/>
              </w:rPr>
            </w:pPr>
            <w:r>
              <w:rPr>
                <w:lang w:val="tr-TR"/>
              </w:rPr>
              <w:t>MMR</w:t>
            </w:r>
          </w:p>
        </w:tc>
        <w:tc>
          <w:tcPr>
            <w:tcW w:w="1843" w:type="dxa"/>
          </w:tcPr>
          <w:p w:rsidR="00387FBC" w:rsidRDefault="00F1620B" w:rsidP="00E23078">
            <w:pPr>
              <w:spacing w:line="480" w:lineRule="auto"/>
              <w:rPr>
                <w:lang w:val="tr-TR"/>
              </w:rPr>
            </w:pPr>
            <w:r>
              <w:rPr>
                <w:lang w:val="tr-TR"/>
              </w:rPr>
              <w:t xml:space="preserve">better than </w:t>
            </w:r>
            <w:r w:rsidR="00387FBC">
              <w:rPr>
                <w:lang w:val="tr-TR"/>
              </w:rPr>
              <w:t>MMR</w:t>
            </w:r>
            <w:r w:rsidR="00F777AB">
              <w:rPr>
                <w:lang w:val="tr-TR"/>
              </w:rPr>
              <w:t>; MR4, MR4.5, MR5</w:t>
            </w:r>
          </w:p>
        </w:tc>
      </w:tr>
    </w:tbl>
    <w:p w:rsidR="00387FBC" w:rsidRDefault="00F777AB" w:rsidP="00E23078">
      <w:pPr>
        <w:spacing w:line="240" w:lineRule="auto"/>
        <w:rPr>
          <w:lang w:val="tr-TR"/>
        </w:rPr>
      </w:pPr>
      <w:r>
        <w:rPr>
          <w:lang w:val="tr-TR"/>
        </w:rPr>
        <w:t>CHR; complete hematological response</w:t>
      </w:r>
    </w:p>
    <w:p w:rsidR="00F777AB" w:rsidRDefault="00F777AB" w:rsidP="00E23078">
      <w:pPr>
        <w:spacing w:line="240" w:lineRule="auto"/>
        <w:rPr>
          <w:lang w:val="tr-TR"/>
        </w:rPr>
      </w:pPr>
      <w:r>
        <w:rPr>
          <w:lang w:val="tr-TR"/>
        </w:rPr>
        <w:t>MCyR; major cytogenetic response</w:t>
      </w:r>
    </w:p>
    <w:p w:rsidR="00F777AB" w:rsidRDefault="00F777AB" w:rsidP="00E23078">
      <w:pPr>
        <w:spacing w:line="240" w:lineRule="auto"/>
        <w:rPr>
          <w:lang w:val="tr-TR"/>
        </w:rPr>
      </w:pPr>
      <w:r>
        <w:rPr>
          <w:lang w:val="tr-TR"/>
        </w:rPr>
        <w:t>CCyR; complete cytogenetic response</w:t>
      </w:r>
    </w:p>
    <w:p w:rsidR="00F777AB" w:rsidRPr="00387FBC" w:rsidRDefault="00F777AB" w:rsidP="00E23078">
      <w:pPr>
        <w:spacing w:line="240" w:lineRule="auto"/>
        <w:rPr>
          <w:lang w:val="tr-TR"/>
        </w:rPr>
      </w:pPr>
      <w:r>
        <w:rPr>
          <w:lang w:val="tr-TR"/>
        </w:rPr>
        <w:t>MMR; major molecular response</w:t>
      </w:r>
    </w:p>
    <w:sectPr w:rsidR="00F777AB" w:rsidRPr="00387FBC" w:rsidSect="00780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grammar="clean"/>
  <w:defaultTabStop w:val="708"/>
  <w:hyphenationZone w:val="425"/>
  <w:characterSpacingControl w:val="doNotCompress"/>
  <w:compat/>
  <w:rsids>
    <w:rsidRoot w:val="00387FBC"/>
    <w:rsid w:val="00387FBC"/>
    <w:rsid w:val="005C2BC2"/>
    <w:rsid w:val="0078003A"/>
    <w:rsid w:val="00B07CC2"/>
    <w:rsid w:val="00E23078"/>
    <w:rsid w:val="00F1620B"/>
    <w:rsid w:val="00F7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3A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7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haznedaroglu</dc:creator>
  <cp:keywords/>
  <dc:description/>
  <cp:lastModifiedBy>haznedaroglu</cp:lastModifiedBy>
  <cp:revision>4</cp:revision>
  <dcterms:created xsi:type="dcterms:W3CDTF">2013-08-19T14:59:00Z</dcterms:created>
  <dcterms:modified xsi:type="dcterms:W3CDTF">2013-08-19T15:17:00Z</dcterms:modified>
</cp:coreProperties>
</file>