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FC" w:rsidRDefault="007E3DFC" w:rsidP="002642E4">
      <w:pPr>
        <w:bidi w:val="0"/>
      </w:pPr>
      <w:r>
        <w:t>Table 3</w:t>
      </w:r>
      <w:r w:rsidR="00CD45EB">
        <w:t xml:space="preserve">: Comparison of the clinical characteristics of patients who developed CMV reactivation versus those who did not. </w:t>
      </w:r>
    </w:p>
    <w:tbl>
      <w:tblPr>
        <w:tblW w:w="100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1484"/>
        <w:gridCol w:w="1524"/>
        <w:gridCol w:w="1517"/>
        <w:gridCol w:w="1114"/>
      </w:tblGrid>
      <w:tr w:rsidR="005E531B" w:rsidTr="00B76120">
        <w:trPr>
          <w:trHeight w:val="511"/>
          <w:jc w:val="center"/>
        </w:trPr>
        <w:tc>
          <w:tcPr>
            <w:tcW w:w="437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Default="005E531B" w:rsidP="00ED6D8D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Modality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Default="005E531B" w:rsidP="00ED6D8D">
            <w:pPr>
              <w:autoSpaceDE w:val="0"/>
              <w:autoSpaceDN w:val="0"/>
              <w:bidi w:val="0"/>
              <w:spacing w:before="30"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number </w:t>
            </w:r>
          </w:p>
          <w:p w:rsidR="00AF4239" w:rsidRPr="00AF4239" w:rsidRDefault="005E531B" w:rsidP="00AF4239">
            <w:pPr>
              <w:autoSpaceDE w:val="0"/>
              <w:autoSpaceDN w:val="0"/>
              <w:bidi w:val="0"/>
              <w:spacing w:before="30"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Default="005E531B" w:rsidP="00ED6D8D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CMV reactivation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Default="005E531B" w:rsidP="000F01D3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 xml:space="preserve">P-value </w:t>
            </w:r>
          </w:p>
        </w:tc>
      </w:tr>
      <w:tr w:rsidR="005E531B" w:rsidTr="00B76120">
        <w:trPr>
          <w:trHeight w:val="480"/>
          <w:jc w:val="center"/>
        </w:trPr>
        <w:tc>
          <w:tcPr>
            <w:tcW w:w="437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531B" w:rsidRDefault="005E531B" w:rsidP="00ED6D8D">
            <w:pPr>
              <w:rPr>
                <w:rFonts w:ascii="Calibri" w:eastAsiaTheme="minorHAnsi" w:hAnsi="Calibri"/>
                <w:b/>
                <w:bCs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531B" w:rsidRDefault="005E531B" w:rsidP="00ED6D8D">
            <w:pPr>
              <w:rPr>
                <w:rFonts w:ascii="Calibri" w:eastAsiaTheme="minorHAnsi" w:hAnsi="Calibri"/>
                <w:b/>
                <w:bCs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Default="005E531B" w:rsidP="00ED6D8D">
            <w:pPr>
              <w:autoSpaceDE w:val="0"/>
              <w:autoSpaceDN w:val="0"/>
              <w:bidi w:val="0"/>
              <w:spacing w:before="30"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  <w:p w:rsidR="0099172F" w:rsidRDefault="0099172F" w:rsidP="009917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Number (%)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Default="005E531B" w:rsidP="00ED6D8D">
            <w:pPr>
              <w:autoSpaceDE w:val="0"/>
              <w:autoSpaceDN w:val="0"/>
              <w:bidi w:val="0"/>
              <w:spacing w:before="30"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  <w:p w:rsidR="0099172F" w:rsidRDefault="0099172F" w:rsidP="009917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="Calibri" w:eastAsiaTheme="minorHAnsi" w:hAnsi="Calibri"/>
                <w:b/>
                <w:bCs/>
              </w:rPr>
            </w:pPr>
            <w:r>
              <w:rPr>
                <w:b/>
                <w:bCs/>
              </w:rPr>
              <w:t>Number (%)</w:t>
            </w: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Default="005E531B" w:rsidP="00ED6D8D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="Calibri" w:eastAsiaTheme="minorHAnsi" w:hAnsi="Calibri"/>
              </w:rPr>
            </w:pPr>
          </w:p>
        </w:tc>
      </w:tr>
      <w:tr w:rsidR="0099172F" w:rsidTr="00B76120">
        <w:trPr>
          <w:trHeight w:val="1015"/>
          <w:jc w:val="center"/>
        </w:trPr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72F" w:rsidRDefault="0099172F" w:rsidP="007B2B8D">
            <w:pPr>
              <w:autoSpaceDE w:val="0"/>
              <w:autoSpaceDN w:val="0"/>
              <w:bidi w:val="0"/>
              <w:spacing w:before="30" w:after="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Age</w:t>
            </w:r>
            <w:r w:rsidR="007B2B8D">
              <w:rPr>
                <w:rFonts w:asciiTheme="majorBidi" w:hAnsiTheme="majorBidi" w:cstheme="majorBidi"/>
              </w:rPr>
              <w:t xml:space="preserve"> groups</w:t>
            </w:r>
          </w:p>
          <w:p w:rsidR="0099172F" w:rsidRDefault="00430909" w:rsidP="0099172F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&lt;50</w:t>
            </w:r>
            <w:r w:rsidR="007B2B8D">
              <w:rPr>
                <w:rFonts w:asciiTheme="majorBidi" w:hAnsiTheme="majorBidi" w:cstheme="majorBidi"/>
              </w:rPr>
              <w:t xml:space="preserve"> years</w:t>
            </w:r>
          </w:p>
          <w:p w:rsidR="0099172F" w:rsidRPr="005E531B" w:rsidRDefault="00430909" w:rsidP="0099172F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≥50 years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AE7" w:rsidRDefault="00C30AE7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C30AE7" w:rsidRDefault="00430909" w:rsidP="00430909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 xml:space="preserve">130 </w:t>
            </w:r>
            <w:r w:rsidR="00C30AE7">
              <w:rPr>
                <w:rFonts w:asciiTheme="majorBidi" w:eastAsiaTheme="minorHAnsi" w:hAnsiTheme="majorBidi" w:cstheme="majorBidi"/>
              </w:rPr>
              <w:t>(</w:t>
            </w:r>
            <w:r>
              <w:rPr>
                <w:rFonts w:asciiTheme="majorBidi" w:eastAsiaTheme="minorHAnsi" w:hAnsiTheme="majorBidi" w:cstheme="majorBidi"/>
              </w:rPr>
              <w:t>6</w:t>
            </w:r>
            <w:r w:rsidR="00C30AE7">
              <w:rPr>
                <w:rFonts w:asciiTheme="majorBidi" w:eastAsiaTheme="minorHAnsi" w:hAnsiTheme="majorBidi" w:cstheme="majorBidi"/>
              </w:rPr>
              <w:t>1.9%)</w:t>
            </w:r>
          </w:p>
          <w:p w:rsidR="00C30AE7" w:rsidRPr="005E531B" w:rsidRDefault="00430909" w:rsidP="00B30705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>80 (3</w:t>
            </w:r>
            <w:r w:rsidR="00C30AE7">
              <w:rPr>
                <w:rFonts w:asciiTheme="majorBidi" w:eastAsiaTheme="minorHAnsi" w:hAnsiTheme="majorBidi" w:cstheme="majorBidi"/>
              </w:rPr>
              <w:t>8.1%)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AE7" w:rsidRDefault="00C30AE7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99172F" w:rsidRDefault="00430909" w:rsidP="00051A2E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 xml:space="preserve">25 </w:t>
            </w:r>
            <w:r w:rsidR="00C30AE7">
              <w:rPr>
                <w:rFonts w:asciiTheme="majorBidi" w:eastAsiaTheme="minorHAnsi" w:hAnsiTheme="majorBidi" w:cstheme="majorBidi"/>
              </w:rPr>
              <w:t>(19.</w:t>
            </w:r>
            <w:r w:rsidR="00051A2E">
              <w:rPr>
                <w:rFonts w:asciiTheme="majorBidi" w:eastAsiaTheme="minorHAnsi" w:hAnsiTheme="majorBidi" w:cstheme="majorBidi"/>
              </w:rPr>
              <w:t>2</w:t>
            </w:r>
            <w:r w:rsidR="00C30AE7">
              <w:rPr>
                <w:rFonts w:asciiTheme="majorBidi" w:eastAsiaTheme="minorHAnsi" w:hAnsiTheme="majorBidi" w:cstheme="majorBidi"/>
              </w:rPr>
              <w:t>%)</w:t>
            </w:r>
          </w:p>
          <w:p w:rsidR="00C30AE7" w:rsidRPr="005E531B" w:rsidRDefault="00051A2E" w:rsidP="00051A2E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 xml:space="preserve">12 </w:t>
            </w:r>
            <w:r w:rsidR="00C30AE7">
              <w:rPr>
                <w:rFonts w:asciiTheme="majorBidi" w:eastAsiaTheme="minorHAnsi" w:hAnsiTheme="majorBidi" w:cstheme="majorBidi"/>
              </w:rPr>
              <w:t>(1</w:t>
            </w:r>
            <w:r>
              <w:rPr>
                <w:rFonts w:asciiTheme="majorBidi" w:eastAsiaTheme="minorHAnsi" w:hAnsiTheme="majorBidi" w:cstheme="majorBidi"/>
              </w:rPr>
              <w:t>5.0</w:t>
            </w:r>
            <w:r w:rsidR="00C30AE7">
              <w:rPr>
                <w:rFonts w:asciiTheme="majorBidi" w:eastAsiaTheme="minorHAnsi" w:hAnsiTheme="majorBidi" w:cstheme="majorBidi"/>
              </w:rPr>
              <w:t>%)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AE7" w:rsidRDefault="00C30AE7" w:rsidP="00C30AE7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C30AE7" w:rsidRDefault="00051A2E" w:rsidP="00051A2E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 xml:space="preserve">105 </w:t>
            </w:r>
            <w:r w:rsidR="00C30AE7">
              <w:rPr>
                <w:rFonts w:asciiTheme="majorBidi" w:eastAsiaTheme="minorHAnsi" w:hAnsiTheme="majorBidi" w:cstheme="majorBidi"/>
              </w:rPr>
              <w:t>(</w:t>
            </w:r>
            <w:r>
              <w:rPr>
                <w:rFonts w:asciiTheme="majorBidi" w:eastAsiaTheme="minorHAnsi" w:hAnsiTheme="majorBidi" w:cstheme="majorBidi"/>
              </w:rPr>
              <w:t>81.5</w:t>
            </w:r>
            <w:r w:rsidR="00C30AE7">
              <w:rPr>
                <w:rFonts w:asciiTheme="majorBidi" w:eastAsiaTheme="minorHAnsi" w:hAnsiTheme="majorBidi" w:cstheme="majorBidi"/>
              </w:rPr>
              <w:t>%)</w:t>
            </w:r>
          </w:p>
          <w:p w:rsidR="0099172F" w:rsidRPr="005E531B" w:rsidRDefault="00051A2E" w:rsidP="00051A2E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 xml:space="preserve">68 </w:t>
            </w:r>
            <w:r w:rsidR="00C30AE7">
              <w:rPr>
                <w:rFonts w:asciiTheme="majorBidi" w:eastAsiaTheme="minorHAnsi" w:hAnsiTheme="majorBidi" w:cstheme="majorBidi"/>
              </w:rPr>
              <w:t>(8</w:t>
            </w:r>
            <w:r>
              <w:rPr>
                <w:rFonts w:asciiTheme="majorBidi" w:eastAsiaTheme="minorHAnsi" w:hAnsiTheme="majorBidi" w:cstheme="majorBidi"/>
              </w:rPr>
              <w:t>5.0</w:t>
            </w:r>
            <w:r w:rsidR="00C30AE7">
              <w:rPr>
                <w:rFonts w:asciiTheme="majorBidi" w:eastAsiaTheme="minorHAnsi" w:hAnsiTheme="majorBidi" w:cstheme="majorBidi"/>
              </w:rPr>
              <w:t>%)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AF2" w:rsidRDefault="00CC4AF2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99172F" w:rsidRPr="005E531B" w:rsidRDefault="00C30AE7" w:rsidP="00051A2E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>0.</w:t>
            </w:r>
            <w:r w:rsidR="00051A2E">
              <w:rPr>
                <w:rFonts w:asciiTheme="majorBidi" w:eastAsiaTheme="minorHAnsi" w:hAnsiTheme="majorBidi" w:cstheme="majorBidi"/>
              </w:rPr>
              <w:t>44</w:t>
            </w:r>
          </w:p>
        </w:tc>
      </w:tr>
      <w:tr w:rsidR="005E531B" w:rsidTr="00B76120">
        <w:trPr>
          <w:trHeight w:val="995"/>
          <w:jc w:val="center"/>
        </w:trPr>
        <w:tc>
          <w:tcPr>
            <w:tcW w:w="4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5E531B" w:rsidRDefault="005E531B" w:rsidP="00D72665">
            <w:pPr>
              <w:autoSpaceDE w:val="0"/>
              <w:autoSpaceDN w:val="0"/>
              <w:bidi w:val="0"/>
              <w:spacing w:before="30" w:after="30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Underlying disease</w:t>
            </w:r>
          </w:p>
          <w:p w:rsidR="005E531B" w:rsidRPr="005E531B" w:rsidRDefault="005E531B" w:rsidP="005E531B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Lymphoma</w:t>
            </w:r>
          </w:p>
          <w:p w:rsidR="005E531B" w:rsidRPr="005E531B" w:rsidRDefault="005E531B" w:rsidP="005E531B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Multiple myeloma</w:t>
            </w:r>
          </w:p>
        </w:tc>
        <w:tc>
          <w:tcPr>
            <w:tcW w:w="1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115 (55%)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95 (45%)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23(20.0%)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14(14.7%)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92(80.0%)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81(85.3%)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0.32</w:t>
            </w:r>
          </w:p>
        </w:tc>
      </w:tr>
      <w:tr w:rsidR="005E531B" w:rsidTr="00B76120">
        <w:trPr>
          <w:trHeight w:val="1169"/>
          <w:jc w:val="center"/>
        </w:trPr>
        <w:tc>
          <w:tcPr>
            <w:tcW w:w="4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5E531B" w:rsidRDefault="005E531B" w:rsidP="00ED6D8D">
            <w:pPr>
              <w:bidi w:val="0"/>
              <w:rPr>
                <w:rFonts w:asciiTheme="majorBidi" w:eastAsiaTheme="minorHAns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Stage</w:t>
            </w:r>
            <w:r w:rsidR="00B91DBF">
              <w:rPr>
                <w:rFonts w:asciiTheme="majorBidi" w:hAnsiTheme="majorBidi" w:cstheme="majorBidi"/>
                <w:color w:val="000000"/>
              </w:rPr>
              <w:t xml:space="preserve"> of the underlying disease</w:t>
            </w:r>
          </w:p>
          <w:p w:rsidR="005E531B" w:rsidRPr="005E531B" w:rsidRDefault="00F851FE" w:rsidP="00F851FE">
            <w:pPr>
              <w:bidi w:val="0"/>
              <w:ind w:left="72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Stage </w:t>
            </w:r>
            <w:r w:rsidR="005E531B" w:rsidRPr="005E531B">
              <w:rPr>
                <w:rFonts w:asciiTheme="majorBidi" w:hAnsiTheme="majorBidi" w:cstheme="majorBidi"/>
                <w:color w:val="000000"/>
              </w:rPr>
              <w:t>I/II</w:t>
            </w:r>
          </w:p>
          <w:p w:rsidR="005E531B" w:rsidRDefault="00F851FE" w:rsidP="00F851FE">
            <w:pPr>
              <w:bidi w:val="0"/>
              <w:ind w:left="72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Stage </w:t>
            </w:r>
            <w:r w:rsidR="005E531B" w:rsidRPr="005E531B">
              <w:rPr>
                <w:rFonts w:asciiTheme="majorBidi" w:hAnsiTheme="majorBidi" w:cstheme="majorBidi"/>
                <w:color w:val="000000"/>
              </w:rPr>
              <w:t>III/IV</w:t>
            </w:r>
          </w:p>
          <w:p w:rsidR="00F851FE" w:rsidRPr="005E531B" w:rsidRDefault="00F851FE" w:rsidP="00F851FE">
            <w:pPr>
              <w:bidi w:val="0"/>
              <w:ind w:left="720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Unknown</w:t>
            </w:r>
          </w:p>
        </w:tc>
        <w:tc>
          <w:tcPr>
            <w:tcW w:w="1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bidi w:val="0"/>
              <w:jc w:val="center"/>
              <w:rPr>
                <w:rFonts w:asciiTheme="majorBidi" w:eastAsiaTheme="minorHAnsi" w:hAnsiTheme="majorBidi" w:cstheme="majorBidi"/>
                <w:color w:val="000000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100(48%)</w:t>
            </w:r>
          </w:p>
          <w:p w:rsid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82(39%)</w:t>
            </w:r>
          </w:p>
          <w:p w:rsidR="00F851FE" w:rsidRPr="00F851FE" w:rsidRDefault="00F851FE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28(13%)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bidi w:val="0"/>
              <w:jc w:val="center"/>
              <w:rPr>
                <w:rFonts w:asciiTheme="majorBidi" w:eastAsiaTheme="minorHAnsi" w:hAnsiTheme="majorBidi" w:cstheme="majorBidi"/>
                <w:color w:val="000000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14(14.0%)</w:t>
            </w:r>
          </w:p>
          <w:p w:rsid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17(20.7%)</w:t>
            </w:r>
          </w:p>
          <w:p w:rsidR="00F851FE" w:rsidRPr="00F851FE" w:rsidRDefault="00F851FE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6(21.4%)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bidi w:val="0"/>
              <w:jc w:val="center"/>
              <w:rPr>
                <w:rFonts w:asciiTheme="majorBidi" w:eastAsiaTheme="minorHAnsi" w:hAnsiTheme="majorBidi" w:cstheme="majorBidi"/>
                <w:color w:val="000000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86(86.0%)</w:t>
            </w:r>
          </w:p>
          <w:p w:rsid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65(79.3%)</w:t>
            </w:r>
          </w:p>
          <w:p w:rsidR="00F851FE" w:rsidRPr="00F851FE" w:rsidRDefault="00F851FE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22(78.6%)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bidi w:val="0"/>
              <w:jc w:val="center"/>
              <w:rPr>
                <w:rFonts w:asciiTheme="majorBidi" w:eastAsiaTheme="minorHAnsi" w:hAnsiTheme="majorBidi" w:cstheme="majorBidi"/>
                <w:color w:val="000000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eastAsiaTheme="minorHAnsi" w:hAnsiTheme="majorBidi" w:cstheme="majorBidi"/>
                <w:color w:val="000000"/>
              </w:rPr>
            </w:pPr>
            <w:r w:rsidRPr="009C29DB">
              <w:rPr>
                <w:rFonts w:asciiTheme="majorBidi" w:hAnsiTheme="majorBidi" w:cstheme="majorBidi"/>
                <w:color w:val="000000"/>
                <w:highlight w:val="yellow"/>
                <w:shd w:val="clear" w:color="auto" w:fill="FFFF00"/>
              </w:rPr>
              <w:t>0.23</w:t>
            </w:r>
          </w:p>
        </w:tc>
        <w:bookmarkStart w:id="0" w:name="_GoBack"/>
        <w:bookmarkEnd w:id="0"/>
      </w:tr>
      <w:tr w:rsidR="005E531B" w:rsidTr="00B76120">
        <w:trPr>
          <w:trHeight w:val="1519"/>
          <w:jc w:val="center"/>
        </w:trPr>
        <w:tc>
          <w:tcPr>
            <w:tcW w:w="4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5E531B" w:rsidRDefault="0099172F" w:rsidP="000F01D3">
            <w:pPr>
              <w:bidi w:val="0"/>
              <w:rPr>
                <w:rFonts w:asciiTheme="majorBidi" w:eastAsiaTheme="minorHAns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Lines of</w:t>
            </w:r>
            <w:r w:rsidR="005E531B" w:rsidRPr="005E531B">
              <w:rPr>
                <w:rFonts w:asciiTheme="majorBidi" w:hAnsiTheme="majorBidi" w:cstheme="majorBidi"/>
              </w:rPr>
              <w:t xml:space="preserve"> chemotherapy before </w:t>
            </w:r>
            <w:r w:rsidR="00F851FE">
              <w:rPr>
                <w:rFonts w:asciiTheme="majorBidi" w:hAnsiTheme="majorBidi" w:cstheme="majorBidi"/>
              </w:rPr>
              <w:t>transplant</w:t>
            </w:r>
            <w:r w:rsidR="007D58FF">
              <w:rPr>
                <w:rFonts w:asciiTheme="majorBidi" w:hAnsiTheme="majorBidi" w:cstheme="majorBidi"/>
              </w:rPr>
              <w:t>ation</w:t>
            </w:r>
          </w:p>
          <w:p w:rsidR="005E531B" w:rsidRPr="005E531B" w:rsidRDefault="00F851FE" w:rsidP="00F851FE">
            <w:pPr>
              <w:bidi w:val="0"/>
              <w:ind w:left="72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≤ </w:t>
            </w:r>
            <w:r w:rsidR="005E531B" w:rsidRPr="005E531B">
              <w:rPr>
                <w:rFonts w:asciiTheme="majorBidi" w:hAnsiTheme="majorBidi" w:cstheme="majorBidi"/>
                <w:color w:val="000000"/>
              </w:rPr>
              <w:t>3 lines</w:t>
            </w:r>
          </w:p>
          <w:p w:rsidR="005E531B" w:rsidRDefault="005E531B" w:rsidP="00F851FE">
            <w:pPr>
              <w:bidi w:val="0"/>
              <w:ind w:left="720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&gt;3 lines</w:t>
            </w:r>
          </w:p>
          <w:p w:rsidR="00F851FE" w:rsidRPr="005E531B" w:rsidRDefault="00F851FE" w:rsidP="00F851FE">
            <w:pPr>
              <w:bidi w:val="0"/>
              <w:ind w:left="720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Unknown</w:t>
            </w:r>
          </w:p>
        </w:tc>
        <w:tc>
          <w:tcPr>
            <w:tcW w:w="1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182(86.6%)</w:t>
            </w:r>
          </w:p>
          <w:p w:rsid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25(12%)</w:t>
            </w:r>
          </w:p>
          <w:p w:rsidR="00F851FE" w:rsidRPr="00F851FE" w:rsidRDefault="00F851FE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3(1.4%)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33(18.1%)</w:t>
            </w:r>
          </w:p>
          <w:p w:rsid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3(12.0%)</w:t>
            </w:r>
          </w:p>
          <w:p w:rsidR="00F851FE" w:rsidRPr="00F851FE" w:rsidRDefault="00F851FE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1(33.3%)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149(81.9%)</w:t>
            </w:r>
          </w:p>
          <w:p w:rsid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22(88.0%)</w:t>
            </w:r>
          </w:p>
          <w:p w:rsidR="00F851FE" w:rsidRPr="00F851FE" w:rsidRDefault="00F851FE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E531B">
              <w:rPr>
                <w:rFonts w:asciiTheme="majorBidi" w:hAnsiTheme="majorBidi" w:cstheme="majorBidi"/>
                <w:color w:val="000000"/>
              </w:rPr>
              <w:t>2(66.7%)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E02E4C" w:rsidRDefault="00E02E4C" w:rsidP="00BA608C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5E531B" w:rsidRPr="005E531B" w:rsidRDefault="005E531B" w:rsidP="00E02E4C">
            <w:pPr>
              <w:bidi w:val="0"/>
              <w:jc w:val="center"/>
              <w:rPr>
                <w:rFonts w:asciiTheme="majorBidi" w:eastAsiaTheme="minorHAnsi" w:hAnsiTheme="majorBidi" w:cstheme="majorBidi"/>
              </w:rPr>
            </w:pPr>
            <w:r w:rsidRPr="00FE50D9">
              <w:rPr>
                <w:rFonts w:asciiTheme="majorBidi" w:hAnsiTheme="majorBidi" w:cstheme="majorBidi"/>
                <w:color w:val="000000"/>
                <w:shd w:val="clear" w:color="auto" w:fill="FFFF00"/>
              </w:rPr>
              <w:t>0.45</w:t>
            </w:r>
          </w:p>
        </w:tc>
      </w:tr>
      <w:tr w:rsidR="002C582F" w:rsidTr="00B76120">
        <w:trPr>
          <w:trHeight w:val="1240"/>
          <w:jc w:val="center"/>
        </w:trPr>
        <w:tc>
          <w:tcPr>
            <w:tcW w:w="4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82F" w:rsidRDefault="002C582F" w:rsidP="00B30705">
            <w:pPr>
              <w:autoSpaceDE w:val="0"/>
              <w:autoSpaceDN w:val="0"/>
              <w:bidi w:val="0"/>
              <w:spacing w:before="30" w:after="30"/>
            </w:pPr>
            <w:r>
              <w:rPr>
                <w:rFonts w:asciiTheme="majorBidi" w:hAnsiTheme="majorBidi" w:cstheme="majorBidi"/>
              </w:rPr>
              <w:t xml:space="preserve">Receipt of </w:t>
            </w:r>
            <w:r w:rsidRPr="002C582F">
              <w:t>Bortezomib</w:t>
            </w:r>
            <w:r>
              <w:t xml:space="preserve"> before transplantation (multiple myeloma only)</w:t>
            </w:r>
          </w:p>
          <w:p w:rsidR="002C582F" w:rsidRDefault="002C582F" w:rsidP="002C582F">
            <w:pPr>
              <w:autoSpaceDE w:val="0"/>
              <w:autoSpaceDN w:val="0"/>
              <w:bidi w:val="0"/>
              <w:spacing w:before="30" w:after="30"/>
              <w:ind w:left="720"/>
            </w:pPr>
            <w:r>
              <w:t>Yes</w:t>
            </w:r>
          </w:p>
          <w:p w:rsidR="002C582F" w:rsidRPr="005E531B" w:rsidRDefault="002C582F" w:rsidP="002C582F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>
              <w:t>No</w:t>
            </w:r>
          </w:p>
        </w:tc>
        <w:tc>
          <w:tcPr>
            <w:tcW w:w="1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2F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7D58FF" w:rsidRDefault="007D58FF" w:rsidP="007D58F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2C582F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B82623">
              <w:rPr>
                <w:rFonts w:asciiTheme="majorBidi" w:hAnsiTheme="majorBidi" w:cstheme="majorBidi"/>
              </w:rPr>
              <w:t xml:space="preserve"> (10.5%)</w:t>
            </w:r>
          </w:p>
          <w:p w:rsidR="002C582F" w:rsidRPr="005E531B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85</w:t>
            </w:r>
            <w:r w:rsidR="00B82623">
              <w:rPr>
                <w:rFonts w:asciiTheme="majorBidi" w:hAnsiTheme="majorBidi" w:cstheme="majorBidi"/>
              </w:rPr>
              <w:t xml:space="preserve"> (89.5%)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2F" w:rsidRDefault="002C582F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2C582F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2C582F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B82623">
              <w:rPr>
                <w:rFonts w:asciiTheme="majorBidi" w:hAnsiTheme="majorBidi" w:cstheme="majorBidi"/>
              </w:rPr>
              <w:t xml:space="preserve"> (30%)</w:t>
            </w:r>
          </w:p>
          <w:p w:rsidR="002C582F" w:rsidRPr="005E531B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B82623">
              <w:rPr>
                <w:rFonts w:asciiTheme="majorBidi" w:hAnsiTheme="majorBidi" w:cstheme="majorBidi"/>
              </w:rPr>
              <w:t xml:space="preserve"> (12.9%)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2F" w:rsidRDefault="002C582F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2C582F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2C582F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B82623">
              <w:rPr>
                <w:rFonts w:asciiTheme="majorBidi" w:hAnsiTheme="majorBidi" w:cstheme="majorBidi"/>
              </w:rPr>
              <w:t xml:space="preserve"> (70%)</w:t>
            </w:r>
          </w:p>
          <w:p w:rsidR="002C582F" w:rsidRPr="005E531B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74</w:t>
            </w:r>
            <w:r w:rsidR="00B82623">
              <w:rPr>
                <w:rFonts w:asciiTheme="majorBidi" w:hAnsiTheme="majorBidi" w:cstheme="majorBidi"/>
              </w:rPr>
              <w:t xml:space="preserve"> (87.1%)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82F" w:rsidRDefault="002C582F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2C582F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2C582F" w:rsidRPr="005E531B" w:rsidRDefault="002C582F" w:rsidP="002C582F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C95A90">
              <w:rPr>
                <w:rFonts w:asciiTheme="majorBidi" w:hAnsiTheme="majorBidi" w:cstheme="majorBidi"/>
                <w:shd w:val="clear" w:color="auto" w:fill="FFFF00"/>
              </w:rPr>
              <w:t>0.09</w:t>
            </w:r>
          </w:p>
        </w:tc>
      </w:tr>
      <w:tr w:rsidR="005E531B" w:rsidTr="00B76120">
        <w:trPr>
          <w:trHeight w:val="1528"/>
          <w:jc w:val="center"/>
        </w:trPr>
        <w:tc>
          <w:tcPr>
            <w:tcW w:w="4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5E531B" w:rsidRDefault="005E531B" w:rsidP="00ED6D8D">
            <w:pPr>
              <w:autoSpaceDE w:val="0"/>
              <w:autoSpaceDN w:val="0"/>
              <w:bidi w:val="0"/>
              <w:spacing w:before="30" w:after="30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Disease status before transplant</w:t>
            </w:r>
          </w:p>
          <w:p w:rsidR="005E531B" w:rsidRPr="005E531B" w:rsidRDefault="005E531B" w:rsidP="00F851FE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 xml:space="preserve">Complete remission </w:t>
            </w:r>
          </w:p>
          <w:p w:rsidR="005E531B" w:rsidRPr="005E531B" w:rsidRDefault="005E531B" w:rsidP="00F851FE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 xml:space="preserve">Partial response </w:t>
            </w:r>
          </w:p>
          <w:p w:rsidR="005E531B" w:rsidRDefault="005E531B" w:rsidP="00F851FE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 xml:space="preserve">Stable disease </w:t>
            </w:r>
          </w:p>
          <w:p w:rsidR="00BA608C" w:rsidRPr="005E531B" w:rsidRDefault="00BA608C" w:rsidP="00BA608C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Unknown</w:t>
            </w:r>
          </w:p>
        </w:tc>
        <w:tc>
          <w:tcPr>
            <w:tcW w:w="1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34 (16%)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147 (70%)</w:t>
            </w:r>
          </w:p>
          <w:p w:rsid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4 (2%)</w:t>
            </w:r>
          </w:p>
          <w:p w:rsidR="00BA608C" w:rsidRPr="005E531B" w:rsidRDefault="00BA608C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25 (12%)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7</w:t>
            </w:r>
            <w:r w:rsidR="00AF4239">
              <w:rPr>
                <w:rFonts w:asciiTheme="majorBidi" w:hAnsiTheme="majorBidi" w:cstheme="majorBidi"/>
              </w:rPr>
              <w:t xml:space="preserve"> </w:t>
            </w:r>
            <w:r w:rsidRPr="005E531B">
              <w:rPr>
                <w:rFonts w:asciiTheme="majorBidi" w:hAnsiTheme="majorBidi" w:cstheme="majorBidi"/>
              </w:rPr>
              <w:t>(20.6%)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26</w:t>
            </w:r>
            <w:r w:rsidR="00AF4239">
              <w:rPr>
                <w:rFonts w:asciiTheme="majorBidi" w:hAnsiTheme="majorBidi" w:cstheme="majorBidi"/>
              </w:rPr>
              <w:t xml:space="preserve"> </w:t>
            </w:r>
            <w:r w:rsidRPr="005E531B">
              <w:rPr>
                <w:rFonts w:asciiTheme="majorBidi" w:hAnsiTheme="majorBidi" w:cstheme="majorBidi"/>
              </w:rPr>
              <w:t>(17.7%)</w:t>
            </w:r>
          </w:p>
          <w:p w:rsid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0</w:t>
            </w:r>
          </w:p>
          <w:p w:rsidR="00BA608C" w:rsidRPr="005E531B" w:rsidRDefault="00BA608C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5E531B">
              <w:rPr>
                <w:rFonts w:asciiTheme="majorBidi" w:hAnsiTheme="majorBidi" w:cstheme="majorBidi"/>
              </w:rPr>
              <w:t>(16 %)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27</w:t>
            </w:r>
            <w:r w:rsidR="00AF4239">
              <w:rPr>
                <w:rFonts w:asciiTheme="majorBidi" w:hAnsiTheme="majorBidi" w:cstheme="majorBidi"/>
              </w:rPr>
              <w:t xml:space="preserve"> </w:t>
            </w:r>
            <w:r w:rsidRPr="005E531B">
              <w:rPr>
                <w:rFonts w:asciiTheme="majorBidi" w:hAnsiTheme="majorBidi" w:cstheme="majorBidi"/>
              </w:rPr>
              <w:t>(79.4%)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121</w:t>
            </w:r>
            <w:r w:rsidR="00AF4239">
              <w:rPr>
                <w:rFonts w:asciiTheme="majorBidi" w:hAnsiTheme="majorBidi" w:cstheme="majorBidi"/>
              </w:rPr>
              <w:t xml:space="preserve"> </w:t>
            </w:r>
            <w:r w:rsidRPr="005E531B">
              <w:rPr>
                <w:rFonts w:asciiTheme="majorBidi" w:hAnsiTheme="majorBidi" w:cstheme="majorBidi"/>
              </w:rPr>
              <w:t>(82.3%)</w:t>
            </w:r>
          </w:p>
          <w:p w:rsid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4</w:t>
            </w:r>
            <w:r w:rsidR="00AF4239">
              <w:rPr>
                <w:rFonts w:asciiTheme="majorBidi" w:hAnsiTheme="majorBidi" w:cstheme="majorBidi"/>
              </w:rPr>
              <w:t xml:space="preserve"> </w:t>
            </w:r>
            <w:r w:rsidRPr="005E531B">
              <w:rPr>
                <w:rFonts w:asciiTheme="majorBidi" w:hAnsiTheme="majorBidi" w:cstheme="majorBidi"/>
              </w:rPr>
              <w:t>(100%)</w:t>
            </w:r>
          </w:p>
          <w:p w:rsidR="00BA608C" w:rsidRPr="005E531B" w:rsidRDefault="00BA608C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21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5E531B">
              <w:rPr>
                <w:rFonts w:asciiTheme="majorBidi" w:hAnsiTheme="majorBidi" w:cstheme="majorBidi"/>
              </w:rPr>
              <w:t>(84%)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FE50D9">
              <w:rPr>
                <w:rFonts w:asciiTheme="majorBidi" w:hAnsiTheme="majorBidi" w:cstheme="majorBidi"/>
                <w:shd w:val="clear" w:color="auto" w:fill="FFFF00"/>
              </w:rPr>
              <w:t>0.59</w:t>
            </w:r>
          </w:p>
        </w:tc>
      </w:tr>
      <w:tr w:rsidR="005E531B" w:rsidTr="00B76120">
        <w:trPr>
          <w:trHeight w:val="971"/>
          <w:jc w:val="center"/>
        </w:trPr>
        <w:tc>
          <w:tcPr>
            <w:tcW w:w="4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5E531B" w:rsidRDefault="005E531B" w:rsidP="005E531B">
            <w:pPr>
              <w:autoSpaceDE w:val="0"/>
              <w:autoSpaceDN w:val="0"/>
              <w:bidi w:val="0"/>
              <w:spacing w:before="30" w:after="30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CMV status before transplant</w:t>
            </w:r>
          </w:p>
          <w:p w:rsidR="005E531B" w:rsidRPr="005E531B" w:rsidRDefault="005E531B" w:rsidP="00AF4239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eastAsiaTheme="minorHAnsi" w:hAnsiTheme="majorBidi" w:cstheme="majorBidi"/>
              </w:rPr>
            </w:pPr>
            <w:proofErr w:type="spellStart"/>
            <w:r w:rsidRPr="005E531B">
              <w:rPr>
                <w:rFonts w:asciiTheme="majorBidi" w:hAnsiTheme="majorBidi" w:cstheme="majorBidi"/>
              </w:rPr>
              <w:t>IgG</w:t>
            </w:r>
            <w:proofErr w:type="spellEnd"/>
            <w:r w:rsidRPr="005E531B">
              <w:rPr>
                <w:rFonts w:asciiTheme="majorBidi" w:hAnsiTheme="majorBidi" w:cstheme="majorBidi"/>
              </w:rPr>
              <w:t xml:space="preserve"> positive </w:t>
            </w:r>
          </w:p>
          <w:p w:rsidR="005E531B" w:rsidRPr="005E531B" w:rsidRDefault="005E531B" w:rsidP="00AF4239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eastAsiaTheme="minorHAnsi" w:hAnsiTheme="majorBidi" w:cstheme="majorBidi"/>
              </w:rPr>
            </w:pPr>
            <w:proofErr w:type="spellStart"/>
            <w:r w:rsidRPr="005E531B">
              <w:rPr>
                <w:rFonts w:asciiTheme="majorBidi" w:hAnsiTheme="majorBidi" w:cstheme="majorBidi"/>
              </w:rPr>
              <w:t>IgM</w:t>
            </w:r>
            <w:proofErr w:type="spellEnd"/>
            <w:r w:rsidRPr="005E531B">
              <w:rPr>
                <w:rFonts w:asciiTheme="majorBidi" w:hAnsiTheme="majorBidi" w:cstheme="majorBidi"/>
              </w:rPr>
              <w:t xml:space="preserve"> positive </w:t>
            </w:r>
          </w:p>
        </w:tc>
        <w:tc>
          <w:tcPr>
            <w:tcW w:w="1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205 (97.6%)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10 (5%)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37(18.0%)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3(30.0%)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168(82.0%)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7(70.0%)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0.30</w:t>
            </w: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0.29</w:t>
            </w:r>
          </w:p>
        </w:tc>
      </w:tr>
      <w:tr w:rsidR="005E531B" w:rsidTr="00B76120">
        <w:trPr>
          <w:trHeight w:val="1258"/>
          <w:jc w:val="center"/>
        </w:trPr>
        <w:tc>
          <w:tcPr>
            <w:tcW w:w="43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31B" w:rsidRPr="00216387" w:rsidRDefault="005E531B" w:rsidP="0099172F">
            <w:pPr>
              <w:autoSpaceDE w:val="0"/>
              <w:autoSpaceDN w:val="0"/>
              <w:bidi w:val="0"/>
              <w:spacing w:before="30" w:after="30"/>
              <w:rPr>
                <w:rFonts w:asciiTheme="majorBidi" w:eastAsiaTheme="minorHAns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 xml:space="preserve">CMV prophylaxis  </w:t>
            </w:r>
          </w:p>
          <w:p w:rsidR="005E531B" w:rsidRPr="00216387" w:rsidRDefault="005E531B" w:rsidP="00AF4239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eastAsiaTheme="minorHAns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 xml:space="preserve">Acyclovir </w:t>
            </w:r>
          </w:p>
          <w:p w:rsidR="005E531B" w:rsidRPr="00216387" w:rsidRDefault="005E531B" w:rsidP="00AF4239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 xml:space="preserve">Valacyclovir </w:t>
            </w:r>
          </w:p>
          <w:p w:rsidR="005E531B" w:rsidRPr="00216387" w:rsidRDefault="00216387" w:rsidP="00AF4239">
            <w:pPr>
              <w:autoSpaceDE w:val="0"/>
              <w:autoSpaceDN w:val="0"/>
              <w:bidi w:val="0"/>
              <w:spacing w:before="30" w:after="30"/>
              <w:ind w:left="720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>Unknown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216387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216387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>198 (94.3)</w:t>
            </w:r>
          </w:p>
          <w:p w:rsidR="005E531B" w:rsidRPr="00216387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>11 (5.2%)</w:t>
            </w:r>
          </w:p>
          <w:p w:rsidR="00AF4239" w:rsidRPr="00216387" w:rsidRDefault="00AF4239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>1 (0.5%)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216387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216387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>27(13.6%)</w:t>
            </w:r>
          </w:p>
          <w:p w:rsidR="005E531B" w:rsidRPr="00216387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>9(81.8%)</w:t>
            </w:r>
          </w:p>
          <w:p w:rsidR="00AF4239" w:rsidRPr="00216387" w:rsidRDefault="00AF4239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216387">
              <w:rPr>
                <w:rFonts w:asciiTheme="majorBidi" w:hAnsiTheme="majorBidi" w:cstheme="majorBidi"/>
              </w:rPr>
              <w:t>1(100%)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</w:p>
          <w:p w:rsidR="005E531B" w:rsidRP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171(86.4%)</w:t>
            </w:r>
          </w:p>
          <w:p w:rsidR="005E531B" w:rsidRDefault="005E531B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2(18.2%)</w:t>
            </w:r>
          </w:p>
          <w:p w:rsidR="00AF4239" w:rsidRPr="005E531B" w:rsidRDefault="00AF4239" w:rsidP="00BA608C">
            <w:pPr>
              <w:autoSpaceDE w:val="0"/>
              <w:autoSpaceDN w:val="0"/>
              <w:bidi w:val="0"/>
              <w:spacing w:before="30" w:after="30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31B" w:rsidRPr="005E531B" w:rsidRDefault="005E531B" w:rsidP="00BA608C">
            <w:pPr>
              <w:bidi w:val="0"/>
              <w:jc w:val="center"/>
              <w:rPr>
                <w:rFonts w:asciiTheme="majorBidi" w:eastAsiaTheme="minorHAnsi" w:hAnsiTheme="majorBidi" w:cstheme="majorBidi"/>
              </w:rPr>
            </w:pPr>
          </w:p>
          <w:p w:rsidR="005E531B" w:rsidRPr="005E531B" w:rsidRDefault="005E531B" w:rsidP="00BA608C">
            <w:pPr>
              <w:bidi w:val="0"/>
              <w:jc w:val="center"/>
              <w:rPr>
                <w:rFonts w:asciiTheme="majorBidi" w:eastAsiaTheme="minorHAnsi" w:hAnsiTheme="majorBidi" w:cstheme="majorBidi"/>
              </w:rPr>
            </w:pPr>
            <w:r w:rsidRPr="005E531B">
              <w:rPr>
                <w:rFonts w:asciiTheme="majorBidi" w:hAnsiTheme="majorBidi" w:cstheme="majorBidi"/>
              </w:rPr>
              <w:t>&lt; 0.0001</w:t>
            </w:r>
          </w:p>
        </w:tc>
      </w:tr>
    </w:tbl>
    <w:p w:rsidR="007E3DFC" w:rsidRDefault="00B76120" w:rsidP="00B76120">
      <w:pPr>
        <w:jc w:val="right"/>
      </w:pPr>
      <w:r>
        <w:t xml:space="preserve">CMV: Cytomegalovirus. </w:t>
      </w:r>
    </w:p>
    <w:sectPr w:rsidR="007E3DFC" w:rsidSect="00515E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E3DFC"/>
    <w:rsid w:val="000260E1"/>
    <w:rsid w:val="00051A2E"/>
    <w:rsid w:val="00067077"/>
    <w:rsid w:val="000910D7"/>
    <w:rsid w:val="000A2759"/>
    <w:rsid w:val="000F01D3"/>
    <w:rsid w:val="001E43EC"/>
    <w:rsid w:val="00216387"/>
    <w:rsid w:val="002337FB"/>
    <w:rsid w:val="00247B52"/>
    <w:rsid w:val="002642E4"/>
    <w:rsid w:val="002C582F"/>
    <w:rsid w:val="002E78C1"/>
    <w:rsid w:val="002F7712"/>
    <w:rsid w:val="0032074B"/>
    <w:rsid w:val="003403C3"/>
    <w:rsid w:val="003808D4"/>
    <w:rsid w:val="00430909"/>
    <w:rsid w:val="00471043"/>
    <w:rsid w:val="00515766"/>
    <w:rsid w:val="00515E60"/>
    <w:rsid w:val="0058319C"/>
    <w:rsid w:val="005A5173"/>
    <w:rsid w:val="005E531B"/>
    <w:rsid w:val="00607D00"/>
    <w:rsid w:val="00632B56"/>
    <w:rsid w:val="006D545B"/>
    <w:rsid w:val="00733ED3"/>
    <w:rsid w:val="00784D85"/>
    <w:rsid w:val="007B2B8D"/>
    <w:rsid w:val="007D58FF"/>
    <w:rsid w:val="007E3DFC"/>
    <w:rsid w:val="00851B4B"/>
    <w:rsid w:val="00897D11"/>
    <w:rsid w:val="008A5C01"/>
    <w:rsid w:val="008C2F77"/>
    <w:rsid w:val="008C4814"/>
    <w:rsid w:val="00930BB1"/>
    <w:rsid w:val="0096489E"/>
    <w:rsid w:val="009723B6"/>
    <w:rsid w:val="0099084A"/>
    <w:rsid w:val="0099172F"/>
    <w:rsid w:val="009C29DB"/>
    <w:rsid w:val="009D6575"/>
    <w:rsid w:val="00AF4239"/>
    <w:rsid w:val="00AF7073"/>
    <w:rsid w:val="00B30705"/>
    <w:rsid w:val="00B33F4A"/>
    <w:rsid w:val="00B75CE9"/>
    <w:rsid w:val="00B76120"/>
    <w:rsid w:val="00B82623"/>
    <w:rsid w:val="00B91DBF"/>
    <w:rsid w:val="00BA4EB7"/>
    <w:rsid w:val="00BA608C"/>
    <w:rsid w:val="00C30AE7"/>
    <w:rsid w:val="00C95A90"/>
    <w:rsid w:val="00CC4AF2"/>
    <w:rsid w:val="00CD11DC"/>
    <w:rsid w:val="00CD45EB"/>
    <w:rsid w:val="00D26C13"/>
    <w:rsid w:val="00D72665"/>
    <w:rsid w:val="00D9180C"/>
    <w:rsid w:val="00DB2097"/>
    <w:rsid w:val="00DE73CC"/>
    <w:rsid w:val="00E02E4C"/>
    <w:rsid w:val="00E1356E"/>
    <w:rsid w:val="00E6025A"/>
    <w:rsid w:val="00EF3E3A"/>
    <w:rsid w:val="00F851FE"/>
    <w:rsid w:val="00FA188C"/>
    <w:rsid w:val="00FD693C"/>
    <w:rsid w:val="00FE50D9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fabdelrahman</dc:creator>
  <cp:lastModifiedBy>Fawzi Abdel-Rahman</cp:lastModifiedBy>
  <cp:revision>4</cp:revision>
  <dcterms:created xsi:type="dcterms:W3CDTF">2015-05-23T17:03:00Z</dcterms:created>
  <dcterms:modified xsi:type="dcterms:W3CDTF">2015-05-24T09:11:00Z</dcterms:modified>
</cp:coreProperties>
</file>