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3354" w14:textId="648CDE4F" w:rsidR="00FA3F3A" w:rsidRPr="00D223D5" w:rsidRDefault="00323DBB" w:rsidP="00FA3F3A">
      <w:pPr>
        <w:rPr>
          <w:b/>
        </w:rPr>
      </w:pPr>
      <w:r w:rsidRPr="00D223D5">
        <w:rPr>
          <w:b/>
        </w:rPr>
        <w:t>Table 1</w:t>
      </w:r>
      <w:r w:rsidR="008533EB" w:rsidRPr="00D223D5">
        <w:rPr>
          <w:b/>
        </w:rPr>
        <w:t xml:space="preserve"> </w:t>
      </w:r>
      <w:r w:rsidR="008361EC" w:rsidRPr="00D223D5">
        <w:rPr>
          <w:b/>
        </w:rPr>
        <w:tab/>
      </w:r>
      <w:r w:rsidR="008533EB" w:rsidRPr="00D223D5">
        <w:rPr>
          <w:b/>
        </w:rPr>
        <w:t>CMV Disease incidence in the preemptive era.  Incidence of CMV disease in the placebo groups in randomized trials</w:t>
      </w:r>
    </w:p>
    <w:tbl>
      <w:tblPr>
        <w:tblpPr w:leftFromText="141" w:rightFromText="141" w:vertAnchor="text" w:horzAnchor="page" w:tblpX="750" w:tblpY="346"/>
        <w:tblW w:w="9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4"/>
        <w:gridCol w:w="3178"/>
        <w:gridCol w:w="1665"/>
        <w:gridCol w:w="3043"/>
      </w:tblGrid>
      <w:tr w:rsidR="00323DBB" w:rsidRPr="00D223D5" w14:paraId="2CD239C8" w14:textId="77777777" w:rsidTr="00323DBB">
        <w:trPr>
          <w:trHeight w:val="576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9F4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019FF813" w14:textId="77777777" w:rsidR="00323DBB" w:rsidRPr="00D223D5" w:rsidRDefault="00323DBB" w:rsidP="00323DBB">
            <w:r w:rsidRPr="00D223D5">
              <w:rPr>
                <w:b/>
                <w:bCs/>
              </w:rPr>
              <w:t>Drug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9F4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70FC9431" w14:textId="77777777" w:rsidR="00323DBB" w:rsidRPr="00D223D5" w:rsidRDefault="00323DBB" w:rsidP="00323DBB">
            <w:r w:rsidRPr="00D223D5">
              <w:rPr>
                <w:b/>
                <w:bCs/>
              </w:rPr>
              <w:t>Study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9F4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24CE0AD9" w14:textId="77777777" w:rsidR="00323DBB" w:rsidRPr="00D223D5" w:rsidRDefault="00323DBB" w:rsidP="00323DBB">
            <w:r w:rsidRPr="00D223D5">
              <w:rPr>
                <w:b/>
                <w:bCs/>
              </w:rPr>
              <w:t>Nº Patients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9F4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0F82ED31" w14:textId="77777777" w:rsidR="00323DBB" w:rsidRPr="00D223D5" w:rsidRDefault="00323DBB" w:rsidP="00323DBB">
            <w:r w:rsidRPr="00D223D5">
              <w:rPr>
                <w:b/>
                <w:bCs/>
              </w:rPr>
              <w:t>CMV disease incidence</w:t>
            </w:r>
          </w:p>
        </w:tc>
      </w:tr>
      <w:tr w:rsidR="00323DBB" w:rsidRPr="00D223D5" w14:paraId="0872B0E3" w14:textId="77777777" w:rsidTr="00323DBB">
        <w:trPr>
          <w:trHeight w:val="576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17FF845A" w14:textId="77777777" w:rsidR="00323DBB" w:rsidRPr="00D223D5" w:rsidRDefault="00323DBB" w:rsidP="00323DBB">
            <w:r w:rsidRPr="00D223D5">
              <w:rPr>
                <w:b/>
                <w:bCs/>
              </w:rPr>
              <w:t>Maribavir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40852A3E" w14:textId="626CD2A2" w:rsidR="00323DBB" w:rsidRPr="00D223D5" w:rsidRDefault="00323DBB" w:rsidP="00CE03DB">
            <w:r w:rsidRPr="00D223D5">
              <w:t>Marty FM, Lancet ID 2011</w:t>
            </w:r>
            <w:r w:rsidR="00CE03DB" w:rsidRPr="00D223D5">
              <w:t xml:space="preserve"> (4)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4FB2532E" w14:textId="77777777" w:rsidR="00323DBB" w:rsidRPr="00D223D5" w:rsidRDefault="00323DBB" w:rsidP="00323DBB">
            <w:r w:rsidRPr="00D223D5">
              <w:rPr>
                <w:b/>
                <w:bCs/>
              </w:rPr>
              <w:t>227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072DF091" w14:textId="77777777" w:rsidR="00323DBB" w:rsidRPr="00D223D5" w:rsidRDefault="00323DBB" w:rsidP="00323DBB">
            <w:r w:rsidRPr="00D223D5">
              <w:rPr>
                <w:b/>
                <w:bCs/>
              </w:rPr>
              <w:t>2.4% (at 6 months)</w:t>
            </w:r>
          </w:p>
        </w:tc>
      </w:tr>
      <w:tr w:rsidR="00323DBB" w:rsidRPr="00D223D5" w14:paraId="74FC59CB" w14:textId="77777777" w:rsidTr="00323DBB">
        <w:trPr>
          <w:trHeight w:val="576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32F8AF82" w14:textId="77777777" w:rsidR="00323DBB" w:rsidRPr="00D223D5" w:rsidRDefault="00323DBB" w:rsidP="00323DBB">
            <w:r w:rsidRPr="00D223D5">
              <w:rPr>
                <w:b/>
                <w:bCs/>
              </w:rPr>
              <w:t>Brincidofovir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0971ED2A" w14:textId="03D97DA7" w:rsidR="00323DBB" w:rsidRPr="00D223D5" w:rsidRDefault="00323DBB" w:rsidP="00323DBB">
            <w:r w:rsidRPr="00D223D5">
              <w:t>Marty FM. NEJM 2013</w:t>
            </w:r>
            <w:r w:rsidR="00CE03DB" w:rsidRPr="00D223D5">
              <w:t xml:space="preserve"> (5)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72A41D0D" w14:textId="77777777" w:rsidR="00323DBB" w:rsidRPr="00D223D5" w:rsidRDefault="00323DBB" w:rsidP="00323DBB">
            <w:r w:rsidRPr="00D223D5">
              <w:rPr>
                <w:b/>
                <w:bCs/>
              </w:rPr>
              <w:t>59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1CFB6FCA" w14:textId="77777777" w:rsidR="00323DBB" w:rsidRPr="00D223D5" w:rsidRDefault="00323DBB" w:rsidP="00323DBB">
            <w:r w:rsidRPr="00D223D5">
              <w:rPr>
                <w:b/>
                <w:bCs/>
              </w:rPr>
              <w:t>3.0% (at 3 months)</w:t>
            </w:r>
          </w:p>
        </w:tc>
      </w:tr>
      <w:tr w:rsidR="00323DBB" w:rsidRPr="00D223D5" w14:paraId="787E1C16" w14:textId="77777777" w:rsidTr="00323DBB">
        <w:trPr>
          <w:trHeight w:val="576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100DB08B" w14:textId="77777777" w:rsidR="00323DBB" w:rsidRPr="00D223D5" w:rsidRDefault="00323DBB" w:rsidP="00323DBB">
            <w:r w:rsidRPr="00D223D5">
              <w:rPr>
                <w:b/>
                <w:bCs/>
              </w:rPr>
              <w:t>Letermovir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783A7845" w14:textId="49B61941" w:rsidR="00323DBB" w:rsidRPr="00D223D5" w:rsidRDefault="00323DBB" w:rsidP="00323DBB">
            <w:r w:rsidRPr="00D223D5">
              <w:t>Chemaly RF. NEJM 2014</w:t>
            </w:r>
            <w:r w:rsidR="00CE03DB" w:rsidRPr="00D223D5">
              <w:t xml:space="preserve"> (6)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7624DC9C" w14:textId="77777777" w:rsidR="00323DBB" w:rsidRPr="00D223D5" w:rsidRDefault="00323DBB" w:rsidP="00323DBB">
            <w:r w:rsidRPr="00D223D5">
              <w:rPr>
                <w:b/>
                <w:bCs/>
              </w:rPr>
              <w:t>33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7F303C16" w14:textId="77777777" w:rsidR="00323DBB" w:rsidRPr="00D223D5" w:rsidRDefault="00323DBB" w:rsidP="00323DBB">
            <w:r w:rsidRPr="00D223D5">
              <w:rPr>
                <w:b/>
                <w:bCs/>
              </w:rPr>
              <w:t>0% (at 3 months)</w:t>
            </w:r>
          </w:p>
        </w:tc>
      </w:tr>
      <w:tr w:rsidR="00323DBB" w:rsidRPr="00D223D5" w14:paraId="669191BD" w14:textId="77777777" w:rsidTr="00323DBB">
        <w:trPr>
          <w:trHeight w:val="65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19088130" w14:textId="77777777" w:rsidR="00323DBB" w:rsidRPr="00D223D5" w:rsidRDefault="00323DBB" w:rsidP="00323DBB">
            <w:r w:rsidRPr="00D223D5">
              <w:rPr>
                <w:b/>
                <w:bCs/>
              </w:rPr>
              <w:t>Valganciclovir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7650D864" w14:textId="69F3A52F" w:rsidR="00323DBB" w:rsidRPr="00D223D5" w:rsidRDefault="00323DBB" w:rsidP="00323DBB">
            <w:r w:rsidRPr="00D223D5">
              <w:t>Boeckh M, Ann I. Med. 2015</w:t>
            </w:r>
            <w:r w:rsidR="00CE03DB" w:rsidRPr="00D223D5">
              <w:t xml:space="preserve"> (7)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168A58E2" w14:textId="77777777" w:rsidR="00323DBB" w:rsidRPr="00D223D5" w:rsidRDefault="00323DBB" w:rsidP="00323DBB">
            <w:r w:rsidRPr="00D223D5">
              <w:rPr>
                <w:b/>
                <w:bCs/>
              </w:rPr>
              <w:t>89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vAlign w:val="center"/>
            <w:hideMark/>
          </w:tcPr>
          <w:p w14:paraId="5480A6F3" w14:textId="77777777" w:rsidR="00323DBB" w:rsidRPr="00D223D5" w:rsidRDefault="00323DBB" w:rsidP="00323DBB">
            <w:r w:rsidRPr="00D223D5">
              <w:rPr>
                <w:b/>
                <w:bCs/>
              </w:rPr>
              <w:t>2.0% (at 9 months)</w:t>
            </w:r>
          </w:p>
        </w:tc>
      </w:tr>
    </w:tbl>
    <w:p w14:paraId="3226F8E4" w14:textId="77777777" w:rsidR="008361EC" w:rsidRPr="00D223D5" w:rsidRDefault="00323DBB" w:rsidP="00FB3FB9">
      <w:r w:rsidRPr="00D223D5">
        <w:t xml:space="preserve"> </w:t>
      </w:r>
      <w:r w:rsidR="00FA3F3A" w:rsidRPr="00D223D5">
        <w:t xml:space="preserve"> </w:t>
      </w:r>
    </w:p>
    <w:p w14:paraId="22F9A401" w14:textId="77777777" w:rsidR="008361EC" w:rsidRPr="00D223D5" w:rsidRDefault="008361EC" w:rsidP="00FB3FB9"/>
    <w:p w14:paraId="7EE6D545" w14:textId="77777777" w:rsidR="00034D48" w:rsidRPr="00D223D5" w:rsidRDefault="00034D48">
      <w:pPr>
        <w:rPr>
          <w:b/>
        </w:rPr>
      </w:pPr>
      <w:r w:rsidRPr="00D223D5">
        <w:rPr>
          <w:b/>
        </w:rPr>
        <w:br w:type="page"/>
      </w:r>
    </w:p>
    <w:p w14:paraId="5768F52C" w14:textId="6DD426F1" w:rsidR="00323DBB" w:rsidRPr="00D223D5" w:rsidRDefault="00323DBB" w:rsidP="00FB3FB9">
      <w:r w:rsidRPr="00D223D5">
        <w:rPr>
          <w:b/>
        </w:rPr>
        <w:lastRenderedPageBreak/>
        <w:t>Table 2</w:t>
      </w:r>
      <w:r w:rsidR="00D81064" w:rsidRPr="00D223D5">
        <w:rPr>
          <w:b/>
        </w:rPr>
        <w:tab/>
        <w:t>CMV Indirect effects: impact of + serology</w:t>
      </w:r>
      <w:r w:rsidR="00FB3FB9" w:rsidRPr="00D223D5">
        <w:rPr>
          <w:b/>
        </w:rPr>
        <w:t xml:space="preserve"> </w:t>
      </w:r>
      <w:r w:rsidR="00FB3FB9" w:rsidRPr="00D223D5">
        <w:t>(from table 1,</w:t>
      </w:r>
      <w:r w:rsidR="00FB3FB9" w:rsidRPr="00D223D5">
        <w:rPr>
          <w:b/>
        </w:rPr>
        <w:t xml:space="preserve"> </w:t>
      </w:r>
      <w:r w:rsidR="00FB3FB9" w:rsidRPr="00D223D5">
        <w:t>Boeckh M.  Blood 2004;103:2003 with modifications*)</w:t>
      </w:r>
    </w:p>
    <w:p w14:paraId="70927658" w14:textId="77777777" w:rsidR="00FA3F3A" w:rsidRPr="00D223D5" w:rsidRDefault="00FA3F3A"/>
    <w:tbl>
      <w:tblPr>
        <w:tblW w:w="10220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4"/>
        <w:gridCol w:w="1701"/>
        <w:gridCol w:w="1417"/>
        <w:gridCol w:w="993"/>
        <w:gridCol w:w="3415"/>
      </w:tblGrid>
      <w:tr w:rsidR="00D81064" w:rsidRPr="00D223D5" w14:paraId="4CD344AC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008FDB92" w14:textId="77777777" w:rsidR="00D81064" w:rsidRPr="00D223D5" w:rsidRDefault="00D81064" w:rsidP="00D81064">
            <w:r w:rsidRPr="00D223D5">
              <w:rPr>
                <w:b/>
                <w:bCs/>
              </w:rPr>
              <w:t>Author (year)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2447453F" w14:textId="20391FD1" w:rsidR="00D81064" w:rsidRPr="00D223D5" w:rsidRDefault="00D81064" w:rsidP="00D81064">
            <w:r w:rsidRPr="00D223D5">
              <w:rPr>
                <w:b/>
                <w:bCs/>
              </w:rPr>
              <w:t>Patient Nº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5D385565" w14:textId="77777777" w:rsidR="00D81064" w:rsidRPr="00D223D5" w:rsidRDefault="00D81064" w:rsidP="00D81064">
            <w:r w:rsidRPr="00D223D5">
              <w:rPr>
                <w:b/>
                <w:bCs/>
              </w:rPr>
              <w:t>TCD</w:t>
            </w:r>
          </w:p>
          <w:p w14:paraId="5530DB2B" w14:textId="77777777" w:rsidR="00D81064" w:rsidRPr="00D223D5" w:rsidRDefault="00D81064" w:rsidP="00D81064">
            <w:r w:rsidRPr="00D223D5">
              <w:rPr>
                <w:b/>
                <w:bCs/>
              </w:rPr>
              <w:t>%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4E54F01D" w14:textId="77777777" w:rsidR="00D81064" w:rsidRPr="00D223D5" w:rsidRDefault="00D81064" w:rsidP="00D81064">
            <w:r w:rsidRPr="00D223D5">
              <w:rPr>
                <w:b/>
                <w:bCs/>
              </w:rPr>
              <w:t>UD</w:t>
            </w:r>
          </w:p>
          <w:p w14:paraId="2B8C6D2A" w14:textId="77777777" w:rsidR="00D81064" w:rsidRPr="00D223D5" w:rsidRDefault="00D81064" w:rsidP="00D81064">
            <w:r w:rsidRPr="00D223D5">
              <w:rPr>
                <w:b/>
                <w:bCs/>
              </w:rPr>
              <w:t>%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4544BBED" w14:textId="77777777" w:rsidR="00D81064" w:rsidRPr="00D223D5" w:rsidRDefault="00D81064" w:rsidP="00D81064">
            <w:r w:rsidRPr="00D223D5">
              <w:rPr>
                <w:b/>
                <w:bCs/>
              </w:rPr>
              <w:t>Results (P &lt;0.01)</w:t>
            </w:r>
          </w:p>
          <w:p w14:paraId="78EA3A80" w14:textId="77777777" w:rsidR="00D81064" w:rsidRPr="00D223D5" w:rsidRDefault="00D81064" w:rsidP="00D81064">
            <w:r w:rsidRPr="00D223D5">
              <w:rPr>
                <w:b/>
                <w:bCs/>
              </w:rPr>
              <w:t>R+ vs R/D CMV (-)</w:t>
            </w:r>
          </w:p>
        </w:tc>
      </w:tr>
      <w:tr w:rsidR="00D81064" w:rsidRPr="00D223D5" w14:paraId="75721359" w14:textId="77777777" w:rsidTr="00D81064">
        <w:trPr>
          <w:trHeight w:val="580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107AD519" w14:textId="77777777" w:rsidR="00D81064" w:rsidRPr="00D223D5" w:rsidRDefault="00D81064" w:rsidP="00D81064">
            <w:r w:rsidRPr="00D223D5">
              <w:t>Broers       (2000)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534DE8E9" w14:textId="77777777" w:rsidR="00D81064" w:rsidRPr="00D223D5" w:rsidRDefault="00D81064" w:rsidP="00D81064">
            <w:r w:rsidRPr="00D223D5">
              <w:t>115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6EED21C3" w14:textId="77777777" w:rsidR="00D81064" w:rsidRPr="00D223D5" w:rsidRDefault="00D81064" w:rsidP="00D81064">
            <w:r w:rsidRPr="00D223D5">
              <w:rPr>
                <w:b/>
                <w:bCs/>
              </w:rPr>
              <w:t>95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1A351DFE" w14:textId="77777777" w:rsidR="00D81064" w:rsidRPr="00D223D5" w:rsidRDefault="00D81064" w:rsidP="00D81064">
            <w:r w:rsidRPr="00D223D5">
              <w:t>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02CC5F56" w14:textId="77777777" w:rsidR="00D81064" w:rsidRPr="00D223D5" w:rsidRDefault="00D81064" w:rsidP="00D81064">
            <w:r w:rsidRPr="00D223D5">
              <w:rPr>
                <w:b/>
                <w:bCs/>
              </w:rPr>
              <w:t xml:space="preserve">24%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absolute OS</w:t>
            </w:r>
          </w:p>
        </w:tc>
      </w:tr>
      <w:tr w:rsidR="00645CE7" w:rsidRPr="00D223D5" w14:paraId="349AE1A4" w14:textId="77777777" w:rsidTr="00D81064">
        <w:trPr>
          <w:trHeight w:val="580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3E517D0" w14:textId="6BCFA257" w:rsidR="00645CE7" w:rsidRPr="00D223D5" w:rsidRDefault="00645CE7" w:rsidP="00D81064">
            <w:r w:rsidRPr="00D223D5">
              <w:t xml:space="preserve">Cornelissen(2001)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6CF777B" w14:textId="1793E5C2" w:rsidR="00645CE7" w:rsidRPr="00D223D5" w:rsidRDefault="00645CE7" w:rsidP="00D81064">
            <w:r w:rsidRPr="00D223D5">
              <w:t>127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50277955" w14:textId="1FE20A96" w:rsidR="00645CE7" w:rsidRPr="00D223D5" w:rsidRDefault="00645CE7" w:rsidP="00D81064">
            <w:pPr>
              <w:rPr>
                <w:b/>
                <w:bCs/>
              </w:rPr>
            </w:pPr>
            <w:r w:rsidRPr="00D223D5">
              <w:t>26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5668EF1" w14:textId="3DBCDE6E" w:rsidR="00645CE7" w:rsidRPr="00D223D5" w:rsidRDefault="00645CE7" w:rsidP="00D81064"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A867DF5" w14:textId="11ADF5CF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38%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relative DFS</w:t>
            </w:r>
          </w:p>
        </w:tc>
      </w:tr>
      <w:tr w:rsidR="00D81064" w:rsidRPr="00D223D5" w14:paraId="47006F27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345D2483" w14:textId="77777777" w:rsidR="00D81064" w:rsidRPr="00D223D5" w:rsidRDefault="00D81064" w:rsidP="00D81064">
            <w:r w:rsidRPr="00D223D5">
              <w:t>Craddock   (2001)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744E84A3" w14:textId="77777777" w:rsidR="00D81064" w:rsidRPr="00D223D5" w:rsidRDefault="00D81064" w:rsidP="00D81064">
            <w:r w:rsidRPr="00D223D5">
              <w:t>106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03435342" w14:textId="77777777" w:rsidR="00D81064" w:rsidRPr="00D223D5" w:rsidRDefault="00D81064" w:rsidP="00D81064">
            <w:r w:rsidRPr="00D223D5">
              <w:rPr>
                <w:b/>
                <w:bCs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48DDD023" w14:textId="77777777" w:rsidR="00D81064" w:rsidRPr="00D223D5" w:rsidRDefault="00D81064" w:rsidP="00D81064"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00869B4C" w14:textId="77777777" w:rsidR="00D81064" w:rsidRPr="00D223D5" w:rsidRDefault="00D81064" w:rsidP="00D81064">
            <w:r w:rsidRPr="00D223D5">
              <w:rPr>
                <w:b/>
                <w:bCs/>
              </w:rPr>
              <w:t xml:space="preserve">22%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absolute OS</w:t>
            </w:r>
          </w:p>
        </w:tc>
      </w:tr>
      <w:tr w:rsidR="003576C2" w:rsidRPr="00D223D5" w14:paraId="5A42DEE5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9382386" w14:textId="44400D63" w:rsidR="003576C2" w:rsidRPr="00D223D5" w:rsidRDefault="003576C2" w:rsidP="00D81064">
            <w:r w:rsidRPr="00D223D5">
              <w:t>Doney        (2003)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9B7C882" w14:textId="684E6BCD" w:rsidR="003576C2" w:rsidRPr="00D223D5" w:rsidRDefault="003576C2" w:rsidP="00D81064">
            <w:r w:rsidRPr="00D223D5">
              <w:t>182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A9414BF" w14:textId="238A7356" w:rsidR="003576C2" w:rsidRPr="00D223D5" w:rsidRDefault="003576C2" w:rsidP="00D81064">
            <w:pPr>
              <w:rPr>
                <w:b/>
                <w:bCs/>
              </w:rPr>
            </w:pPr>
            <w:r w:rsidRPr="00D223D5">
              <w:t>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DEC9E0E" w14:textId="1177783F" w:rsidR="003576C2" w:rsidRPr="00D223D5" w:rsidRDefault="003576C2" w:rsidP="00D81064">
            <w:pPr>
              <w:rPr>
                <w:b/>
                <w:bCs/>
              </w:rPr>
            </w:pPr>
            <w:r w:rsidRPr="00D223D5">
              <w:t>52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978618B" w14:textId="2F4CBFBC" w:rsidR="003576C2" w:rsidRPr="00D223D5" w:rsidRDefault="003576C2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99% </w:t>
            </w:r>
            <w:r w:rsidRPr="00D223D5">
              <w:rPr>
                <w:rFonts w:hint="eastAsia"/>
                <w:b/>
                <w:bCs/>
              </w:rPr>
              <w:sym w:font="Symbol" w:char="00DD"/>
            </w:r>
            <w:r w:rsidRPr="00D223D5">
              <w:rPr>
                <w:b/>
                <w:bCs/>
              </w:rPr>
              <w:t xml:space="preserve"> relative TRM</w:t>
            </w:r>
          </w:p>
        </w:tc>
      </w:tr>
      <w:tr w:rsidR="00D81064" w:rsidRPr="00D223D5" w14:paraId="2578BABF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76B4FC04" w14:textId="77777777" w:rsidR="00D81064" w:rsidRPr="00D223D5" w:rsidRDefault="00D81064" w:rsidP="00D81064">
            <w:r w:rsidRPr="00D223D5">
              <w:t>Kollman    (2001)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18350A62" w14:textId="77777777" w:rsidR="00D81064" w:rsidRPr="00D223D5" w:rsidRDefault="00D81064" w:rsidP="00D81064">
            <w:r w:rsidRPr="00D223D5">
              <w:t>6978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45DC1EDA" w14:textId="77777777" w:rsidR="00D81064" w:rsidRPr="00D223D5" w:rsidRDefault="00D81064" w:rsidP="00D81064">
            <w:r w:rsidRPr="00D223D5">
              <w:t>25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28987573" w14:textId="77777777" w:rsidR="00D81064" w:rsidRPr="00D223D5" w:rsidRDefault="00D81064" w:rsidP="00D81064"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7BDE97F6" w14:textId="77777777" w:rsidR="00D81064" w:rsidRPr="00D223D5" w:rsidRDefault="00D81064" w:rsidP="00D81064">
            <w:r w:rsidRPr="00D223D5">
              <w:rPr>
                <w:b/>
                <w:bCs/>
              </w:rPr>
              <w:t xml:space="preserve">7%  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absolute OS</w:t>
            </w:r>
          </w:p>
        </w:tc>
      </w:tr>
      <w:tr w:rsidR="00645CE7" w:rsidRPr="00D223D5" w14:paraId="77C8BEA0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5145A526" w14:textId="2BFC01B7" w:rsidR="00645CE7" w:rsidRPr="00D223D5" w:rsidRDefault="00645CE7" w:rsidP="00D81064">
            <w:r w:rsidRPr="00D223D5">
              <w:t>Kroger       (2001)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7DD8CC0" w14:textId="7DDA83FF" w:rsidR="00645CE7" w:rsidRPr="00D223D5" w:rsidRDefault="00645CE7" w:rsidP="00D81064">
            <w:r w:rsidRPr="00D223D5">
              <w:t>125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096D9BD0" w14:textId="4306C885" w:rsidR="00645CE7" w:rsidRPr="00D223D5" w:rsidRDefault="00645CE7" w:rsidP="00D81064">
            <w:r w:rsidRPr="00D223D5">
              <w:rPr>
                <w:b/>
                <w:bCs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CFF29FE" w14:textId="76476BF5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3FACE49" w14:textId="2D058772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41%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absolute OS</w:t>
            </w:r>
          </w:p>
        </w:tc>
      </w:tr>
      <w:tr w:rsidR="00645CE7" w:rsidRPr="00D223D5" w14:paraId="78CEE677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AC76ACF" w14:textId="1C2A9FCF" w:rsidR="00645CE7" w:rsidRPr="00D223D5" w:rsidRDefault="00645CE7" w:rsidP="002678A5">
            <w:r w:rsidRPr="00D223D5">
              <w:t>Ljungman* (2014)</w:t>
            </w:r>
            <w:r w:rsidR="00CE03DB" w:rsidRPr="00D223D5">
              <w:t xml:space="preserve"> (</w:t>
            </w:r>
            <w:r w:rsidR="002678A5" w:rsidRPr="00D223D5">
              <w:t>59</w:t>
            </w:r>
            <w:r w:rsidR="00CE03DB" w:rsidRPr="00D223D5">
              <w:t>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0F594937" w14:textId="32A7B310" w:rsidR="00645CE7" w:rsidRPr="00D223D5" w:rsidRDefault="006D6144" w:rsidP="00D81064">
            <w:r w:rsidRPr="00D223D5">
              <w:t>8801</w:t>
            </w:r>
            <w:r w:rsidR="00645CE7" w:rsidRPr="00D223D5">
              <w:t>**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6F5A776D" w14:textId="1CB152FF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CA4967E" w14:textId="59C9B60F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>69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6F14DE9C" w14:textId="77777777" w:rsidR="00645CE7" w:rsidRPr="00D223D5" w:rsidRDefault="00B5391B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5%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absolute OS</w:t>
            </w:r>
          </w:p>
          <w:p w14:paraId="512E5064" w14:textId="03B80A68" w:rsidR="0008277A" w:rsidRPr="00D223D5" w:rsidRDefault="0008277A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13% </w:t>
            </w:r>
            <w:r w:rsidRPr="00D223D5">
              <w:rPr>
                <w:rFonts w:hint="eastAsia"/>
                <w:b/>
                <w:bCs/>
              </w:rPr>
              <w:sym w:font="Symbol" w:char="00DD"/>
            </w:r>
            <w:r w:rsidRPr="00D223D5">
              <w:rPr>
                <w:b/>
                <w:bCs/>
              </w:rPr>
              <w:t xml:space="preserve"> relative TRM</w:t>
            </w:r>
          </w:p>
        </w:tc>
      </w:tr>
      <w:tr w:rsidR="00645CE7" w:rsidRPr="00D223D5" w14:paraId="5620C854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C0788B4" w14:textId="34124D5B" w:rsidR="00645CE7" w:rsidRPr="00D223D5" w:rsidRDefault="00645CE7" w:rsidP="00D81064">
            <w:r w:rsidRPr="00D223D5">
              <w:t>MacGlave  (2000)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58143A1B" w14:textId="3D2E5FF2" w:rsidR="00645CE7" w:rsidRPr="00D223D5" w:rsidRDefault="00645CE7" w:rsidP="00D81064">
            <w:r w:rsidRPr="00D223D5">
              <w:t>1423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B05FA0C" w14:textId="3723901F" w:rsidR="00645CE7" w:rsidRPr="00D223D5" w:rsidRDefault="00645CE7" w:rsidP="00D81064">
            <w:r w:rsidRPr="00D223D5">
              <w:t>23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F5668D6" w14:textId="6A5CBA7E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100C8B6" w14:textId="026B6DB0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20%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relative DFS</w:t>
            </w:r>
          </w:p>
        </w:tc>
      </w:tr>
      <w:tr w:rsidR="00645CE7" w:rsidRPr="00D223D5" w14:paraId="125DF444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D7D6125" w14:textId="46E143CB" w:rsidR="00645CE7" w:rsidRPr="00D223D5" w:rsidRDefault="00645CE7" w:rsidP="00D81064">
            <w:r w:rsidRPr="00D223D5">
              <w:t>Malaspina (2002)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E04B71C" w14:textId="4AF2A68D" w:rsidR="00645CE7" w:rsidRPr="00D223D5" w:rsidRDefault="00645CE7" w:rsidP="00D81064">
            <w:r w:rsidRPr="00D223D5">
              <w:t>510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25F191F4" w14:textId="59EC46F6" w:rsidR="00645CE7" w:rsidRPr="00D223D5" w:rsidRDefault="00645CE7" w:rsidP="00D81064">
            <w:r w:rsidRPr="00D223D5">
              <w:t>24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F78FCE1" w14:textId="586B401B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F8A2945" w14:textId="25872580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46%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relative DFS</w:t>
            </w:r>
          </w:p>
        </w:tc>
      </w:tr>
      <w:tr w:rsidR="00645CE7" w:rsidRPr="00D223D5" w14:paraId="6F037611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0759B163" w14:textId="52F505BF" w:rsidR="00645CE7" w:rsidRPr="00D223D5" w:rsidRDefault="00645CE7" w:rsidP="00D81064">
            <w:r w:rsidRPr="00D223D5">
              <w:t>Meijer        (2002)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6F6CE20" w14:textId="1CEA64C1" w:rsidR="00645CE7" w:rsidRPr="00D223D5" w:rsidRDefault="00645CE7" w:rsidP="00D81064">
            <w:r w:rsidRPr="00D223D5">
              <w:t>48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154E6D15" w14:textId="6727F6F5" w:rsidR="00645CE7" w:rsidRPr="00D223D5" w:rsidRDefault="00645CE7" w:rsidP="00D81064">
            <w:r w:rsidRPr="00D223D5">
              <w:rPr>
                <w:b/>
                <w:bCs/>
              </w:rPr>
              <w:t>100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7CBB6EBB" w14:textId="033A13B6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>100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D93ED4D" w14:textId="6612E683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41% </w:t>
            </w:r>
            <w:r w:rsidRPr="00D223D5">
              <w:rPr>
                <w:rFonts w:hint="eastAsia"/>
                <w:b/>
                <w:bCs/>
              </w:rPr>
              <w:sym w:font="Symbol" w:char="00DD"/>
            </w:r>
            <w:r w:rsidRPr="00D223D5">
              <w:rPr>
                <w:b/>
                <w:bCs/>
              </w:rPr>
              <w:t xml:space="preserve"> absolute TRM</w:t>
            </w:r>
          </w:p>
        </w:tc>
      </w:tr>
      <w:tr w:rsidR="00D81064" w:rsidRPr="00D223D5" w14:paraId="25C1DEF3" w14:textId="77777777" w:rsidTr="00D81064">
        <w:trPr>
          <w:trHeight w:val="578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6DF94FB0" w14:textId="77777777" w:rsidR="00D81064" w:rsidRPr="00D223D5" w:rsidRDefault="00D81064" w:rsidP="00D81064">
            <w:r w:rsidRPr="00D223D5">
              <w:t>Nichols      (2002)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1073019C" w14:textId="77777777" w:rsidR="00D81064" w:rsidRPr="00D223D5" w:rsidRDefault="00D81064" w:rsidP="00D81064">
            <w:r w:rsidRPr="00D223D5">
              <w:t>1750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27117C17" w14:textId="77777777" w:rsidR="00D81064" w:rsidRPr="00D223D5" w:rsidRDefault="00D81064" w:rsidP="00D81064">
            <w:r w:rsidRPr="00D223D5">
              <w:t>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64D23D98" w14:textId="77777777" w:rsidR="00D81064" w:rsidRPr="00D223D5" w:rsidRDefault="00D81064" w:rsidP="00D81064">
            <w:r w:rsidRPr="00D223D5">
              <w:t>57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  <w:hideMark/>
          </w:tcPr>
          <w:p w14:paraId="7091D5BE" w14:textId="77777777" w:rsidR="00D81064" w:rsidRPr="00D223D5" w:rsidRDefault="00D81064" w:rsidP="00D81064">
            <w:r w:rsidRPr="00D223D5">
              <w:rPr>
                <w:b/>
                <w:bCs/>
              </w:rPr>
              <w:t xml:space="preserve">26%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relative OS</w:t>
            </w:r>
          </w:p>
        </w:tc>
      </w:tr>
      <w:tr w:rsidR="00D81064" w:rsidRPr="00D223D5" w14:paraId="14F50E5F" w14:textId="77777777" w:rsidTr="00D81064">
        <w:trPr>
          <w:trHeight w:val="580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6AB961F0" w14:textId="30152C49" w:rsidR="00D81064" w:rsidRPr="00D223D5" w:rsidRDefault="00D81064" w:rsidP="002678A5">
            <w:r w:rsidRPr="00D223D5">
              <w:t>Teira</w:t>
            </w:r>
            <w:r w:rsidR="00FB3FB9" w:rsidRPr="00D223D5">
              <w:t>*</w:t>
            </w:r>
            <w:r w:rsidRPr="00D223D5">
              <w:t xml:space="preserve"> (2016)</w:t>
            </w:r>
            <w:r w:rsidR="00CE03DB" w:rsidRPr="00D223D5">
              <w:t xml:space="preserve"> (5</w:t>
            </w:r>
            <w:r w:rsidR="002678A5" w:rsidRPr="00D223D5">
              <w:t>8</w:t>
            </w:r>
            <w:r w:rsidR="00CE03DB" w:rsidRPr="00D223D5">
              <w:t>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64EF20AF" w14:textId="6D2B0F22" w:rsidR="00D81064" w:rsidRPr="00D223D5" w:rsidRDefault="00D81064" w:rsidP="00D81064">
            <w:r w:rsidRPr="00D223D5">
              <w:t>9469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4C5B403" w14:textId="2FB7B648" w:rsidR="00D81064" w:rsidRPr="00D223D5" w:rsidRDefault="00F051D2" w:rsidP="00D81064">
            <w:r w:rsidRPr="00D223D5">
              <w:t>52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6F97BA24" w14:textId="35D8A347" w:rsidR="00D81064" w:rsidRPr="00D223D5" w:rsidRDefault="00F051D2" w:rsidP="00D81064">
            <w:r w:rsidRPr="00D223D5">
              <w:t>29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2ACCFC3A" w14:textId="47FAD5DA" w:rsidR="00D81064" w:rsidRPr="00D223D5" w:rsidRDefault="00FB3FB9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60  </w:t>
            </w:r>
            <w:r w:rsidRPr="00D223D5">
              <w:rPr>
                <w:rFonts w:hint="eastAsia"/>
                <w:b/>
                <w:bCs/>
              </w:rPr>
              <w:sym w:font="Symbol" w:char="00DD"/>
            </w:r>
            <w:r w:rsidRPr="00D223D5">
              <w:rPr>
                <w:b/>
                <w:bCs/>
              </w:rPr>
              <w:t xml:space="preserve"> relative TRM</w:t>
            </w:r>
          </w:p>
        </w:tc>
      </w:tr>
      <w:tr w:rsidR="00645CE7" w:rsidRPr="00D223D5" w14:paraId="456FB022" w14:textId="77777777" w:rsidTr="00D81064">
        <w:trPr>
          <w:trHeight w:val="580"/>
        </w:trPr>
        <w:tc>
          <w:tcPr>
            <w:tcW w:w="2694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29FF82DF" w14:textId="28FB3645" w:rsidR="00645CE7" w:rsidRPr="00D223D5" w:rsidRDefault="00645CE7" w:rsidP="00D81064">
            <w:r w:rsidRPr="00D223D5">
              <w:t>Yakoub-Agha* (2006)</w:t>
            </w:r>
            <w:r w:rsidR="002678A5" w:rsidRPr="00D223D5">
              <w:t xml:space="preserve"> (107)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4A4C64C7" w14:textId="1B1EEF0A" w:rsidR="00645CE7" w:rsidRPr="00D223D5" w:rsidRDefault="00645CE7" w:rsidP="00D81064">
            <w:r w:rsidRPr="00D223D5">
              <w:t>236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6FC2EFDF" w14:textId="0CC51240" w:rsidR="00645CE7" w:rsidRPr="00D223D5" w:rsidRDefault="00645CE7" w:rsidP="00D81064">
            <w:r w:rsidRPr="00D223D5">
              <w:t>0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24792617" w14:textId="7F59DCE4" w:rsidR="00645CE7" w:rsidRPr="00D223D5" w:rsidRDefault="00645CE7" w:rsidP="00D81064">
            <w:r w:rsidRPr="00D223D5">
              <w:t>23</w:t>
            </w:r>
          </w:p>
        </w:tc>
        <w:tc>
          <w:tcPr>
            <w:tcW w:w="3415" w:type="dxa"/>
            <w:shd w:val="clear" w:color="auto" w:fill="auto"/>
            <w:tcMar>
              <w:top w:w="72" w:type="dxa"/>
              <w:left w:w="128" w:type="dxa"/>
              <w:bottom w:w="72" w:type="dxa"/>
              <w:right w:w="128" w:type="dxa"/>
            </w:tcMar>
          </w:tcPr>
          <w:p w14:paraId="357C0726" w14:textId="77777777" w:rsidR="00645CE7" w:rsidRPr="00D223D5" w:rsidRDefault="00645CE7" w:rsidP="00B5391B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16% </w:t>
            </w:r>
            <w:r w:rsidRPr="00D223D5">
              <w:rPr>
                <w:rFonts w:hint="eastAsia"/>
                <w:b/>
                <w:bCs/>
              </w:rPr>
              <w:sym w:font="Symbol" w:char="00DF"/>
            </w:r>
            <w:r w:rsidRPr="00D223D5">
              <w:rPr>
                <w:b/>
                <w:bCs/>
              </w:rPr>
              <w:t xml:space="preserve"> absolute OS</w:t>
            </w:r>
          </w:p>
          <w:p w14:paraId="56B6FF5E" w14:textId="722AFB11" w:rsidR="00645CE7" w:rsidRPr="00D223D5" w:rsidRDefault="00645CE7" w:rsidP="00D81064">
            <w:pPr>
              <w:rPr>
                <w:b/>
                <w:bCs/>
              </w:rPr>
            </w:pPr>
            <w:r w:rsidRPr="00D223D5">
              <w:rPr>
                <w:b/>
                <w:bCs/>
              </w:rPr>
              <w:t xml:space="preserve">14% </w:t>
            </w:r>
            <w:r w:rsidRPr="00D223D5">
              <w:rPr>
                <w:rFonts w:hint="eastAsia"/>
                <w:b/>
                <w:bCs/>
              </w:rPr>
              <w:sym w:font="Symbol" w:char="00DD"/>
            </w:r>
            <w:r w:rsidRPr="00D223D5">
              <w:rPr>
                <w:b/>
                <w:bCs/>
              </w:rPr>
              <w:t xml:space="preserve"> absolute TRM</w:t>
            </w:r>
          </w:p>
        </w:tc>
      </w:tr>
    </w:tbl>
    <w:p w14:paraId="792A0D7C" w14:textId="0772D1C1" w:rsidR="00EC1D2A" w:rsidRPr="00D223D5" w:rsidRDefault="00EC1D2A">
      <w:r w:rsidRPr="00D223D5">
        <w:t>TCD: T-cell depletion. UD: unrelated donor</w:t>
      </w:r>
    </w:p>
    <w:p w14:paraId="3EF23327" w14:textId="305E0609" w:rsidR="006D6144" w:rsidRPr="00D223D5" w:rsidRDefault="00645CE7" w:rsidP="00CE03DB">
      <w:r w:rsidRPr="00D223D5">
        <w:t>**:</w:t>
      </w:r>
      <w:r w:rsidR="00255CFB">
        <w:t xml:space="preserve"> This</w:t>
      </w:r>
      <w:r w:rsidRPr="00D223D5">
        <w:t xml:space="preserve"> is a subpopulation of the study, restricted to the impact of using a CMV </w:t>
      </w:r>
      <w:bookmarkStart w:id="0" w:name="_GoBack"/>
      <w:bookmarkEnd w:id="0"/>
      <w:r w:rsidRPr="00D223D5">
        <w:t>Seropositive Donor for a CMV-Seronegative unrelated patient.</w:t>
      </w:r>
    </w:p>
    <w:p w14:paraId="34F5DB84" w14:textId="77777777" w:rsidR="00EC1D2A" w:rsidRPr="00D223D5" w:rsidRDefault="00EC1D2A"/>
    <w:p w14:paraId="4F1E772B" w14:textId="5353B9CE" w:rsidR="00722858" w:rsidRPr="00D223D5" w:rsidRDefault="00722858" w:rsidP="00722858">
      <w:pPr>
        <w:rPr>
          <w:b/>
        </w:rPr>
      </w:pPr>
      <w:r w:rsidRPr="00D223D5">
        <w:rPr>
          <w:b/>
        </w:rPr>
        <w:t>Table</w:t>
      </w:r>
      <w:r w:rsidR="007D38C5" w:rsidRPr="00D223D5">
        <w:rPr>
          <w:b/>
        </w:rPr>
        <w:t xml:space="preserve"> 3</w:t>
      </w:r>
      <w:r w:rsidRPr="00D223D5">
        <w:rPr>
          <w:b/>
        </w:rPr>
        <w:tab/>
        <w:t xml:space="preserve">Guidelines for CMV management in SCT: </w:t>
      </w:r>
      <w:r w:rsidRPr="00D223D5">
        <w:rPr>
          <w:b/>
          <w:bCs/>
        </w:rPr>
        <w:t xml:space="preserve">Prevention of CMV disease </w:t>
      </w:r>
      <w:r w:rsidR="00D223D5" w:rsidRPr="00D223D5">
        <w:rPr>
          <w:b/>
          <w:bCs/>
        </w:rPr>
        <w:t>in allogeneic</w:t>
      </w:r>
      <w:r w:rsidRPr="00D223D5">
        <w:rPr>
          <w:b/>
          <w:bCs/>
        </w:rPr>
        <w:t>-SCT</w:t>
      </w:r>
      <w:r w:rsidR="00353718" w:rsidRPr="00D223D5">
        <w:rPr>
          <w:b/>
          <w:bCs/>
        </w:rPr>
        <w:t xml:space="preserve">. ECIL </w:t>
      </w:r>
      <w:r w:rsidR="00F31553" w:rsidRPr="00D223D5">
        <w:rPr>
          <w:b/>
          <w:bCs/>
        </w:rPr>
        <w:t>recommendations</w:t>
      </w:r>
      <w:r w:rsidR="00353718" w:rsidRPr="00D223D5">
        <w:rPr>
          <w:b/>
          <w:bCs/>
        </w:rPr>
        <w:t xml:space="preserve"> </w:t>
      </w:r>
      <w:r w:rsidR="003E497D" w:rsidRPr="00D223D5">
        <w:rPr>
          <w:b/>
          <w:bCs/>
        </w:rPr>
        <w:t xml:space="preserve">  (</w:t>
      </w:r>
      <w:r w:rsidR="00CE03DB" w:rsidRPr="00D223D5">
        <w:rPr>
          <w:b/>
          <w:bCs/>
        </w:rPr>
        <w:t>6</w:t>
      </w:r>
      <w:r w:rsidR="002678A5" w:rsidRPr="00D223D5">
        <w:rPr>
          <w:b/>
          <w:bCs/>
        </w:rPr>
        <w:t>8</w:t>
      </w:r>
      <w:r w:rsidR="003E497D" w:rsidRPr="00D223D5">
        <w:rPr>
          <w:b/>
          <w:bCs/>
        </w:rPr>
        <w:t>)</w:t>
      </w:r>
      <w:r w:rsidR="008467C4" w:rsidRPr="00D223D5">
        <w:rPr>
          <w:b/>
          <w:bCs/>
        </w:rPr>
        <w:tab/>
      </w:r>
    </w:p>
    <w:p w14:paraId="07186F30" w14:textId="32D9431D" w:rsidR="00722858" w:rsidRPr="00D223D5" w:rsidRDefault="008467C4" w:rsidP="00722858">
      <w:pPr>
        <w:rPr>
          <w:b/>
        </w:rPr>
      </w:pPr>
      <w:r w:rsidRPr="00D223D5">
        <w:rPr>
          <w:b/>
        </w:rPr>
        <w:t>Diagnosis</w:t>
      </w:r>
    </w:p>
    <w:p w14:paraId="15B09C78" w14:textId="77777777" w:rsidR="008467C4" w:rsidRPr="00D223D5" w:rsidRDefault="008467C4" w:rsidP="008467C4">
      <w:pPr>
        <w:pStyle w:val="Prrafodelista"/>
        <w:numPr>
          <w:ilvl w:val="0"/>
          <w:numId w:val="2"/>
        </w:numPr>
      </w:pPr>
      <w:r w:rsidRPr="00D223D5">
        <w:t>The diagnosis of CMV disease must be based on symptoms and signs consistent with CMV disease together with detection of CMV by an appropriate method applied to a specimen from the involved tissue  (A II)</w:t>
      </w:r>
    </w:p>
    <w:p w14:paraId="336F7093" w14:textId="77777777" w:rsidR="008467C4" w:rsidRPr="00D223D5" w:rsidRDefault="008467C4" w:rsidP="008467C4">
      <w:pPr>
        <w:pStyle w:val="Prrafodelista"/>
        <w:numPr>
          <w:ilvl w:val="1"/>
          <w:numId w:val="2"/>
        </w:numPr>
      </w:pPr>
      <w:r w:rsidRPr="00D223D5">
        <w:t xml:space="preserve"> Symptoms of organ involvement + CMV detection in blood are not enough for diagnosis of CMV disease</w:t>
      </w:r>
    </w:p>
    <w:p w14:paraId="553E8E18" w14:textId="77777777" w:rsidR="008467C4" w:rsidRPr="00D223D5" w:rsidRDefault="008467C4" w:rsidP="008467C4">
      <w:pPr>
        <w:pStyle w:val="Prrafodelista"/>
        <w:numPr>
          <w:ilvl w:val="0"/>
          <w:numId w:val="2"/>
        </w:numPr>
      </w:pPr>
      <w:r w:rsidRPr="00D223D5">
        <w:t xml:space="preserve"> PCR is usually not appropriate for documentation of CMV disease in tissue specimens, as the PPV is too low (B III)</w:t>
      </w:r>
    </w:p>
    <w:p w14:paraId="396A19F2" w14:textId="01D7E295" w:rsidR="008467C4" w:rsidRPr="00D223D5" w:rsidRDefault="008467C4" w:rsidP="008467C4">
      <w:pPr>
        <w:rPr>
          <w:b/>
        </w:rPr>
      </w:pPr>
      <w:r w:rsidRPr="00D223D5">
        <w:rPr>
          <w:b/>
        </w:rPr>
        <w:t>Monitoring</w:t>
      </w:r>
    </w:p>
    <w:p w14:paraId="79286CB0" w14:textId="2826E6E8" w:rsidR="008467C4" w:rsidRPr="00D223D5" w:rsidRDefault="008467C4" w:rsidP="008467C4">
      <w:pPr>
        <w:pStyle w:val="Prrafodelista"/>
        <w:numPr>
          <w:ilvl w:val="0"/>
          <w:numId w:val="2"/>
        </w:numPr>
      </w:pPr>
      <w:r w:rsidRPr="00D223D5">
        <w:t>All allo</w:t>
      </w:r>
      <w:r w:rsidR="00D223D5">
        <w:t>geneic</w:t>
      </w:r>
      <w:r w:rsidRPr="00D223D5">
        <w:t>-SCT patients, regardless of whether they receive CMV prophylaxis, should be monitored for CMV in peripheral blood at least weekly using either CMV antigenemia assay or a technique for the detection of either CMV DNA or RNA (AI).</w:t>
      </w:r>
    </w:p>
    <w:p w14:paraId="2EAD7D43" w14:textId="03A60604" w:rsidR="005C2CA3" w:rsidRPr="00D223D5" w:rsidRDefault="005C2CA3" w:rsidP="005C2CA3">
      <w:pPr>
        <w:pStyle w:val="Prrafodelista"/>
        <w:numPr>
          <w:ilvl w:val="0"/>
          <w:numId w:val="2"/>
        </w:numPr>
      </w:pPr>
      <w:r w:rsidRPr="00D223D5">
        <w:t xml:space="preserve">Use of a quantitative assay gives additional information valuable for patient management (B II). </w:t>
      </w:r>
    </w:p>
    <w:p w14:paraId="5BBFF258" w14:textId="4F7993A4" w:rsidR="008467C4" w:rsidRPr="00D223D5" w:rsidRDefault="008467C4" w:rsidP="008467C4">
      <w:pPr>
        <w:pStyle w:val="Prrafodelista"/>
        <w:numPr>
          <w:ilvl w:val="0"/>
          <w:numId w:val="2"/>
        </w:numPr>
      </w:pPr>
      <w:r w:rsidRPr="00D223D5">
        <w:t>The duration of monitoring should be at least 100 days (BIII).</w:t>
      </w:r>
    </w:p>
    <w:p w14:paraId="0B449D89" w14:textId="283E2154" w:rsidR="008467C4" w:rsidRPr="00D223D5" w:rsidRDefault="008467C4" w:rsidP="00D223D5">
      <w:pPr>
        <w:pStyle w:val="Prrafodelista"/>
        <w:numPr>
          <w:ilvl w:val="0"/>
          <w:numId w:val="2"/>
        </w:numPr>
      </w:pPr>
      <w:r w:rsidRPr="00D223D5">
        <w:t>Longer monitoring is recommended in patients with acute or chronic GVHD, in those having experienced CMV infection after SCT earlier and in those having</w:t>
      </w:r>
      <w:r w:rsidR="00D223D5">
        <w:t xml:space="preserve"> </w:t>
      </w:r>
      <w:r w:rsidRPr="00D223D5">
        <w:t>undergone mismatched or unrelated donor transplantation (BII).</w:t>
      </w:r>
    </w:p>
    <w:p w14:paraId="1C16D43F" w14:textId="77777777" w:rsidR="008467C4" w:rsidRPr="00D223D5" w:rsidRDefault="008467C4" w:rsidP="008467C4">
      <w:pPr>
        <w:rPr>
          <w:b/>
        </w:rPr>
      </w:pPr>
      <w:r w:rsidRPr="00D223D5">
        <w:rPr>
          <w:b/>
        </w:rPr>
        <w:t>Prevention</w:t>
      </w:r>
    </w:p>
    <w:p w14:paraId="4E9CC184" w14:textId="77777777" w:rsidR="007D38C5" w:rsidRPr="00D223D5" w:rsidRDefault="007D38C5" w:rsidP="007D38C5">
      <w:pPr>
        <w:pStyle w:val="Prrafodelista"/>
        <w:numPr>
          <w:ilvl w:val="0"/>
          <w:numId w:val="1"/>
        </w:numPr>
      </w:pPr>
      <w:r w:rsidRPr="00D223D5">
        <w:t>The strategy of choice: pre-emptive therapy</w:t>
      </w:r>
    </w:p>
    <w:p w14:paraId="0D0DC8C2" w14:textId="6EB8CB4D" w:rsidR="007D38C5" w:rsidRPr="00D223D5" w:rsidRDefault="007D38C5" w:rsidP="00A47668">
      <w:pPr>
        <w:pStyle w:val="Prrafodelista"/>
        <w:numPr>
          <w:ilvl w:val="1"/>
          <w:numId w:val="1"/>
        </w:numPr>
      </w:pPr>
      <w:r w:rsidRPr="00D223D5">
        <w:t xml:space="preserve"> Pre-emptive antiviral therapy based on detection of CMV antigen or nucleic acid  (A I)</w:t>
      </w:r>
    </w:p>
    <w:p w14:paraId="64DB73F2" w14:textId="77777777" w:rsidR="007D38C5" w:rsidRPr="00D223D5" w:rsidRDefault="007D38C5" w:rsidP="00A47668">
      <w:pPr>
        <w:pStyle w:val="Prrafodelista"/>
        <w:numPr>
          <w:ilvl w:val="1"/>
          <w:numId w:val="1"/>
        </w:numPr>
      </w:pPr>
      <w:r w:rsidRPr="00D223D5">
        <w:t xml:space="preserve"> Either intravenous ganciclovir or foscarnet can be used for first line pre-emptive therapy (A I)</w:t>
      </w:r>
    </w:p>
    <w:p w14:paraId="1573672B" w14:textId="5144770D" w:rsidR="002A23E3" w:rsidRPr="00D223D5" w:rsidRDefault="002A23E3" w:rsidP="002A23E3">
      <w:pPr>
        <w:pStyle w:val="Prrafodelista"/>
        <w:numPr>
          <w:ilvl w:val="1"/>
          <w:numId w:val="1"/>
        </w:numPr>
      </w:pPr>
      <w:r w:rsidRPr="00D223D5">
        <w:t>Valganciclovir might be used in place of i.v. agents especially in low-risk patients (provisional BII).</w:t>
      </w:r>
    </w:p>
    <w:p w14:paraId="6BEE36A9" w14:textId="308815A7" w:rsidR="002B4C07" w:rsidRPr="00D223D5" w:rsidRDefault="002B4C07" w:rsidP="00A47668">
      <w:pPr>
        <w:pStyle w:val="Prrafodelista"/>
        <w:numPr>
          <w:ilvl w:val="1"/>
          <w:numId w:val="1"/>
        </w:numPr>
      </w:pPr>
      <w:r w:rsidRPr="00D223D5">
        <w:t>Cidofovir can be considered for second-line pre-emptive therapy (3–5 mg/kg) but careful monitoring of renal function is required (BII).</w:t>
      </w:r>
    </w:p>
    <w:p w14:paraId="5BD29B8D" w14:textId="77777777" w:rsidR="00A47668" w:rsidRPr="00D223D5" w:rsidRDefault="00A47668" w:rsidP="007D38C5">
      <w:pPr>
        <w:pStyle w:val="Prrafodelista"/>
        <w:numPr>
          <w:ilvl w:val="0"/>
          <w:numId w:val="1"/>
        </w:numPr>
      </w:pPr>
      <w:r w:rsidRPr="00D223D5">
        <w:t>Prophylaxis</w:t>
      </w:r>
    </w:p>
    <w:p w14:paraId="51FBF0F7" w14:textId="3C516F87" w:rsidR="007D38C5" w:rsidRPr="00D223D5" w:rsidRDefault="007D38C5" w:rsidP="00A47668">
      <w:pPr>
        <w:pStyle w:val="Prrafodelista"/>
        <w:numPr>
          <w:ilvl w:val="1"/>
          <w:numId w:val="1"/>
        </w:numPr>
      </w:pPr>
      <w:r w:rsidRPr="00D223D5">
        <w:t>Iv ganciclovir prophylaxis could be used in sub-groups of patients at high risk for CMV disease (BI) (not specified)</w:t>
      </w:r>
      <w:r w:rsidR="00F31553" w:rsidRPr="00D223D5">
        <w:t>.</w:t>
      </w:r>
    </w:p>
    <w:p w14:paraId="17CEE66E" w14:textId="573B7D7F" w:rsidR="00E16944" w:rsidRPr="00D223D5" w:rsidRDefault="00E16944" w:rsidP="00A47668">
      <w:pPr>
        <w:pStyle w:val="Prrafodelista"/>
        <w:numPr>
          <w:ilvl w:val="1"/>
          <w:numId w:val="1"/>
        </w:numPr>
      </w:pPr>
      <w:r w:rsidRPr="00D223D5">
        <w:t>Acyclovir or valacyclovir can be used as prophylaxis</w:t>
      </w:r>
      <w:r w:rsidR="005378D3" w:rsidRPr="00D223D5">
        <w:t xml:space="preserve"> </w:t>
      </w:r>
      <w:r w:rsidRPr="00D223D5">
        <w:t>against CMV in allo-SCT patients (BI). However, their</w:t>
      </w:r>
      <w:r w:rsidR="005378D3" w:rsidRPr="00D223D5">
        <w:t xml:space="preserve"> </w:t>
      </w:r>
      <w:r w:rsidRPr="00D223D5">
        <w:t>use must be combined with monitoring and the use of</w:t>
      </w:r>
      <w:r w:rsidR="005378D3" w:rsidRPr="00D223D5">
        <w:t xml:space="preserve"> </w:t>
      </w:r>
      <w:r w:rsidRPr="00D223D5">
        <w:t>pre-emptive therapy (AI).</w:t>
      </w:r>
    </w:p>
    <w:p w14:paraId="172FD4F3" w14:textId="48CB08A4" w:rsidR="00E16944" w:rsidRPr="00D223D5" w:rsidRDefault="00E16944" w:rsidP="00A47668">
      <w:pPr>
        <w:pStyle w:val="Prrafodelista"/>
        <w:numPr>
          <w:ilvl w:val="1"/>
          <w:numId w:val="1"/>
        </w:numPr>
      </w:pPr>
      <w:r w:rsidRPr="00D223D5">
        <w:t>Immune globulin has no role as prophylaxis against</w:t>
      </w:r>
      <w:r w:rsidR="005378D3" w:rsidRPr="00D223D5">
        <w:t xml:space="preserve"> </w:t>
      </w:r>
      <w:r w:rsidRPr="00D223D5">
        <w:t>CMV infection (EII).</w:t>
      </w:r>
    </w:p>
    <w:p w14:paraId="179C7207" w14:textId="2BEBED3E" w:rsidR="00B16F84" w:rsidRPr="00D223D5" w:rsidRDefault="001272BC" w:rsidP="00B16F84">
      <w:pPr>
        <w:pStyle w:val="Prrafodelista"/>
        <w:numPr>
          <w:ilvl w:val="0"/>
          <w:numId w:val="1"/>
        </w:numPr>
      </w:pPr>
      <w:r w:rsidRPr="00D223D5">
        <w:t>Adoptive cellular immunotherapy</w:t>
      </w:r>
    </w:p>
    <w:p w14:paraId="38EA1B84" w14:textId="362928BB" w:rsidR="00722858" w:rsidRPr="00D223D5" w:rsidRDefault="00B16F84" w:rsidP="00722858">
      <w:pPr>
        <w:pStyle w:val="Prrafodelista"/>
        <w:numPr>
          <w:ilvl w:val="1"/>
          <w:numId w:val="1"/>
        </w:numPr>
      </w:pPr>
      <w:r w:rsidRPr="00D223D5">
        <w:t>Infusion of CMV specific lymphocytes or Dendritic cell vaccination are interesting options and should undergo controlled prospective clinical trials (C II)</w:t>
      </w:r>
    </w:p>
    <w:p w14:paraId="657EDDE9" w14:textId="77777777" w:rsidR="002F7276" w:rsidRPr="00D223D5" w:rsidRDefault="002F7276" w:rsidP="00722858">
      <w:pPr>
        <w:rPr>
          <w:b/>
        </w:rPr>
      </w:pPr>
    </w:p>
    <w:p w14:paraId="4F142E9A" w14:textId="3918C3A0" w:rsidR="002F7276" w:rsidRPr="00D223D5" w:rsidRDefault="002F7276" w:rsidP="00722858">
      <w:pPr>
        <w:rPr>
          <w:b/>
        </w:rPr>
      </w:pPr>
      <w:r w:rsidRPr="00D223D5">
        <w:rPr>
          <w:b/>
        </w:rPr>
        <w:t xml:space="preserve">Table 4 Guidelines for CMV management in SCT: </w:t>
      </w:r>
      <w:r w:rsidRPr="00D223D5">
        <w:rPr>
          <w:b/>
          <w:bCs/>
        </w:rPr>
        <w:t>CMV disease treatment. ECIL recommendations   (</w:t>
      </w:r>
      <w:r w:rsidR="00CE03DB" w:rsidRPr="00D223D5">
        <w:rPr>
          <w:b/>
          <w:bCs/>
        </w:rPr>
        <w:t>6</w:t>
      </w:r>
      <w:r w:rsidR="002678A5" w:rsidRPr="00D223D5">
        <w:rPr>
          <w:b/>
          <w:bCs/>
        </w:rPr>
        <w:t>8</w:t>
      </w:r>
      <w:r w:rsidRPr="00D223D5">
        <w:rPr>
          <w:b/>
          <w:bCs/>
        </w:rPr>
        <w:t>)</w:t>
      </w:r>
    </w:p>
    <w:p w14:paraId="4CAF2EA5" w14:textId="77777777" w:rsidR="002F7276" w:rsidRPr="00D223D5" w:rsidRDefault="002F7276" w:rsidP="002F7276">
      <w:pPr>
        <w:pStyle w:val="Prrafodelista"/>
        <w:numPr>
          <w:ilvl w:val="0"/>
          <w:numId w:val="3"/>
        </w:numPr>
      </w:pPr>
      <w:r w:rsidRPr="00D223D5">
        <w:t>CMV pneumonia (allo-SCT)</w:t>
      </w:r>
    </w:p>
    <w:p w14:paraId="779D3AF1" w14:textId="77777777" w:rsidR="002F7276" w:rsidRPr="00D223D5" w:rsidRDefault="002F7276" w:rsidP="002F7276">
      <w:pPr>
        <w:pStyle w:val="Prrafodelista"/>
        <w:numPr>
          <w:ilvl w:val="1"/>
          <w:numId w:val="3"/>
        </w:numPr>
      </w:pPr>
      <w:r w:rsidRPr="00D223D5">
        <w:t xml:space="preserve"> Ganciclovir is recommended (AII)</w:t>
      </w:r>
    </w:p>
    <w:p w14:paraId="65EB28EF" w14:textId="77777777" w:rsidR="002F7276" w:rsidRPr="00D223D5" w:rsidRDefault="002F7276" w:rsidP="002F7276">
      <w:pPr>
        <w:pStyle w:val="Prrafodelista"/>
        <w:numPr>
          <w:ilvl w:val="1"/>
          <w:numId w:val="3"/>
        </w:numPr>
      </w:pPr>
      <w:r w:rsidRPr="00D223D5">
        <w:t xml:space="preserve"> Foscarnet might be used in place of ganciclovir (AIII)</w:t>
      </w:r>
    </w:p>
    <w:p w14:paraId="098E3C8F" w14:textId="77777777" w:rsidR="002F7276" w:rsidRPr="00D223D5" w:rsidRDefault="002F7276" w:rsidP="002F7276">
      <w:pPr>
        <w:pStyle w:val="Prrafodelista"/>
        <w:numPr>
          <w:ilvl w:val="1"/>
          <w:numId w:val="3"/>
        </w:numPr>
      </w:pPr>
      <w:r w:rsidRPr="00D223D5">
        <w:t xml:space="preserve"> The addition of immune globulin to antiviral therapy should be considered (CII)</w:t>
      </w:r>
    </w:p>
    <w:p w14:paraId="38F1EB22" w14:textId="70CB4C2C" w:rsidR="00BE1E64" w:rsidRPr="00D223D5" w:rsidRDefault="00BE1E64" w:rsidP="00BE1E64">
      <w:pPr>
        <w:pStyle w:val="Prrafodelista"/>
        <w:numPr>
          <w:ilvl w:val="1"/>
          <w:numId w:val="3"/>
        </w:numPr>
      </w:pPr>
      <w:r w:rsidRPr="00D223D5">
        <w:t>Cidofovir or the combination of foscarnet and</w:t>
      </w:r>
      <w:r w:rsidR="00270BAA" w:rsidRPr="00D223D5">
        <w:t xml:space="preserve"> </w:t>
      </w:r>
      <w:r w:rsidRPr="00D223D5">
        <w:t>ganciclovir can be used as second-line therapy (BII).</w:t>
      </w:r>
    </w:p>
    <w:p w14:paraId="30B5E45C" w14:textId="284A82AB" w:rsidR="002F7276" w:rsidRPr="00D223D5" w:rsidRDefault="002F7276" w:rsidP="002F7276">
      <w:pPr>
        <w:pStyle w:val="Prrafodelista"/>
        <w:numPr>
          <w:ilvl w:val="0"/>
          <w:numId w:val="3"/>
        </w:numPr>
      </w:pPr>
      <w:r w:rsidRPr="00D223D5">
        <w:t xml:space="preserve"> Other types of CMV disease and in other patients groups</w:t>
      </w:r>
      <w:r w:rsidRPr="00D223D5">
        <w:tab/>
        <w:t xml:space="preserve"> </w:t>
      </w:r>
    </w:p>
    <w:p w14:paraId="4D066FEB" w14:textId="77777777" w:rsidR="002F7276" w:rsidRPr="00D223D5" w:rsidRDefault="002F7276" w:rsidP="002F7276">
      <w:pPr>
        <w:pStyle w:val="Prrafodelista"/>
        <w:numPr>
          <w:ilvl w:val="1"/>
          <w:numId w:val="3"/>
        </w:numPr>
      </w:pPr>
      <w:r w:rsidRPr="00D223D5">
        <w:t xml:space="preserve"> Ganciclovir or foscarnet without Ig is recommended (BII)</w:t>
      </w:r>
    </w:p>
    <w:p w14:paraId="71529626" w14:textId="37542165" w:rsidR="001B2CD5" w:rsidRPr="00D223D5" w:rsidRDefault="00270BAA" w:rsidP="00BE1E64">
      <w:pPr>
        <w:pStyle w:val="Prrafodelista"/>
        <w:numPr>
          <w:ilvl w:val="1"/>
          <w:numId w:val="3"/>
        </w:numPr>
      </w:pPr>
      <w:r w:rsidRPr="00D223D5">
        <w:t>Cidofovir or the combination of i.v. ganciclovir and foscarnet can be used as second-line therapy for CMV disease (BII).</w:t>
      </w:r>
    </w:p>
    <w:p w14:paraId="08572512" w14:textId="77777777" w:rsidR="001B2CD5" w:rsidRPr="00D223D5" w:rsidRDefault="001B2CD5" w:rsidP="00BE1E64">
      <w:pPr>
        <w:rPr>
          <w:b/>
        </w:rPr>
      </w:pPr>
    </w:p>
    <w:p w14:paraId="36C003E6" w14:textId="77777777" w:rsidR="00BE1E64" w:rsidRPr="00D223D5" w:rsidRDefault="00BE1E64" w:rsidP="00BE1E64">
      <w:pPr>
        <w:rPr>
          <w:b/>
        </w:rPr>
      </w:pPr>
      <w:r w:rsidRPr="00D223D5">
        <w:rPr>
          <w:b/>
        </w:rPr>
        <w:t>Table 5</w:t>
      </w:r>
      <w:r w:rsidRPr="00D223D5">
        <w:rPr>
          <w:b/>
        </w:rPr>
        <w:tab/>
        <w:t>Present CMV antivirals</w:t>
      </w:r>
    </w:p>
    <w:p w14:paraId="1235E15C" w14:textId="21E326EE" w:rsidR="001B2CD5" w:rsidRPr="00D223D5" w:rsidRDefault="00BE1E64" w:rsidP="001B2CD5">
      <w:r w:rsidRPr="00D223D5">
        <w:t xml:space="preserve"> </w:t>
      </w:r>
      <w:r w:rsidR="001B2CD5" w:rsidRPr="00D223D5">
        <w:rPr>
          <w:bCs/>
          <w:u w:val="single"/>
        </w:rPr>
        <w:t xml:space="preserve"> Drug</w:t>
      </w:r>
      <w:r w:rsidR="001B2CD5" w:rsidRPr="00D223D5">
        <w:rPr>
          <w:bCs/>
        </w:rPr>
        <w:tab/>
      </w:r>
      <w:r w:rsidR="001B2CD5" w:rsidRPr="00D223D5">
        <w:rPr>
          <w:bCs/>
        </w:rPr>
        <w:tab/>
      </w:r>
      <w:r w:rsidR="001B2CD5" w:rsidRPr="00D223D5">
        <w:rPr>
          <w:bCs/>
        </w:rPr>
        <w:tab/>
      </w:r>
      <w:r w:rsidR="001B2CD5" w:rsidRPr="00D223D5">
        <w:rPr>
          <w:bCs/>
        </w:rPr>
        <w:tab/>
      </w:r>
      <w:r w:rsidR="001B2CD5" w:rsidRPr="00D223D5">
        <w:rPr>
          <w:bCs/>
          <w:u w:val="single"/>
        </w:rPr>
        <w:t xml:space="preserve">Route </w:t>
      </w:r>
      <w:r w:rsidR="001B2CD5" w:rsidRPr="00D223D5">
        <w:rPr>
          <w:bCs/>
        </w:rPr>
        <w:t xml:space="preserve">     </w:t>
      </w:r>
      <w:r w:rsidR="001B2CD5" w:rsidRPr="00D223D5">
        <w:rPr>
          <w:bCs/>
        </w:rPr>
        <w:tab/>
      </w:r>
      <w:r w:rsidR="001B2CD5" w:rsidRPr="00D223D5">
        <w:rPr>
          <w:bCs/>
        </w:rPr>
        <w:tab/>
      </w:r>
      <w:r w:rsidR="001B2CD5" w:rsidRPr="00D223D5">
        <w:rPr>
          <w:bCs/>
          <w:u w:val="single"/>
        </w:rPr>
        <w:t>Approval</w:t>
      </w:r>
    </w:p>
    <w:p w14:paraId="38133447" w14:textId="77777777" w:rsidR="001B2CD5" w:rsidRPr="00D223D5" w:rsidRDefault="001B2CD5" w:rsidP="001B2CD5">
      <w:r w:rsidRPr="00D223D5">
        <w:rPr>
          <w:bCs/>
        </w:rPr>
        <w:t xml:space="preserve">High potency </w:t>
      </w:r>
    </w:p>
    <w:p w14:paraId="53C967ED" w14:textId="04691C3B" w:rsidR="001B2CD5" w:rsidRPr="00D223D5" w:rsidRDefault="001B2CD5" w:rsidP="001B2CD5">
      <w:pPr>
        <w:numPr>
          <w:ilvl w:val="0"/>
          <w:numId w:val="4"/>
        </w:numPr>
      </w:pPr>
      <w:r w:rsidRPr="00D223D5">
        <w:rPr>
          <w:bCs/>
        </w:rPr>
        <w:t>Ganciclovir</w:t>
      </w:r>
      <w:r w:rsidRPr="00D223D5">
        <w:rPr>
          <w:bCs/>
          <w:u w:val="single"/>
        </w:rPr>
        <w:t xml:space="preserve"> </w:t>
      </w:r>
      <w:r w:rsidRPr="00D223D5">
        <w:rPr>
          <w:bCs/>
        </w:rPr>
        <w:tab/>
      </w:r>
      <w:r w:rsidRPr="00D223D5">
        <w:rPr>
          <w:bCs/>
        </w:rPr>
        <w:tab/>
        <w:t>(iv)</w:t>
      </w:r>
      <w:r w:rsidRPr="00D223D5">
        <w:rPr>
          <w:bCs/>
        </w:rPr>
        <w:tab/>
      </w:r>
      <w:r w:rsidRPr="00D223D5">
        <w:rPr>
          <w:bCs/>
        </w:rPr>
        <w:tab/>
      </w:r>
      <w:r w:rsidRPr="00D223D5">
        <w:rPr>
          <w:bCs/>
        </w:rPr>
        <w:tab/>
        <w:t>1989</w:t>
      </w:r>
    </w:p>
    <w:p w14:paraId="70A4CAA8" w14:textId="4F6CC718" w:rsidR="001B2CD5" w:rsidRPr="00D223D5" w:rsidRDefault="001B2CD5" w:rsidP="001B2CD5">
      <w:pPr>
        <w:numPr>
          <w:ilvl w:val="0"/>
          <w:numId w:val="4"/>
        </w:numPr>
      </w:pPr>
      <w:r w:rsidRPr="00D223D5">
        <w:rPr>
          <w:bCs/>
        </w:rPr>
        <w:t xml:space="preserve">Foscarnet </w:t>
      </w:r>
      <w:r w:rsidRPr="00D223D5">
        <w:rPr>
          <w:bCs/>
        </w:rPr>
        <w:tab/>
      </w:r>
      <w:r w:rsidRPr="00D223D5">
        <w:rPr>
          <w:bCs/>
        </w:rPr>
        <w:tab/>
        <w:t xml:space="preserve">(iv) </w:t>
      </w:r>
      <w:r w:rsidRPr="00D223D5">
        <w:rPr>
          <w:bCs/>
        </w:rPr>
        <w:tab/>
      </w:r>
      <w:r w:rsidRPr="00D223D5">
        <w:rPr>
          <w:bCs/>
        </w:rPr>
        <w:tab/>
      </w:r>
      <w:r w:rsidRPr="00D223D5">
        <w:rPr>
          <w:bCs/>
        </w:rPr>
        <w:tab/>
        <w:t xml:space="preserve">1991 Aids </w:t>
      </w:r>
    </w:p>
    <w:p w14:paraId="7CFF8DE2" w14:textId="4070341D" w:rsidR="001B2CD5" w:rsidRPr="00D223D5" w:rsidRDefault="001B2CD5" w:rsidP="001B2CD5">
      <w:pPr>
        <w:numPr>
          <w:ilvl w:val="0"/>
          <w:numId w:val="4"/>
        </w:numPr>
      </w:pPr>
      <w:r w:rsidRPr="00D223D5">
        <w:rPr>
          <w:bCs/>
        </w:rPr>
        <w:t xml:space="preserve">Cidofovir </w:t>
      </w:r>
      <w:r w:rsidRPr="00D223D5">
        <w:rPr>
          <w:bCs/>
        </w:rPr>
        <w:tab/>
      </w:r>
      <w:r w:rsidRPr="00D223D5">
        <w:rPr>
          <w:bCs/>
        </w:rPr>
        <w:tab/>
      </w:r>
      <w:r w:rsidR="0061407A" w:rsidRPr="00D223D5">
        <w:rPr>
          <w:bCs/>
        </w:rPr>
        <w:tab/>
      </w:r>
      <w:r w:rsidRPr="00D223D5">
        <w:rPr>
          <w:bCs/>
        </w:rPr>
        <w:t xml:space="preserve">(iv) </w:t>
      </w:r>
      <w:r w:rsidRPr="00D223D5">
        <w:rPr>
          <w:bCs/>
        </w:rPr>
        <w:tab/>
      </w:r>
      <w:r w:rsidRPr="00D223D5">
        <w:rPr>
          <w:bCs/>
        </w:rPr>
        <w:tab/>
      </w:r>
      <w:r w:rsidRPr="00D223D5">
        <w:rPr>
          <w:bCs/>
        </w:rPr>
        <w:tab/>
        <w:t>1996 Aids</w:t>
      </w:r>
    </w:p>
    <w:p w14:paraId="52EF32A6" w14:textId="0FBD578B" w:rsidR="001B2CD5" w:rsidRPr="00D223D5" w:rsidRDefault="001B2CD5" w:rsidP="001B2CD5">
      <w:pPr>
        <w:numPr>
          <w:ilvl w:val="0"/>
          <w:numId w:val="4"/>
        </w:numPr>
      </w:pPr>
      <w:r w:rsidRPr="00D223D5">
        <w:rPr>
          <w:bCs/>
        </w:rPr>
        <w:t>Valganciclovir</w:t>
      </w:r>
      <w:r w:rsidRPr="00D223D5">
        <w:rPr>
          <w:bCs/>
        </w:rPr>
        <w:tab/>
      </w:r>
      <w:r w:rsidRPr="00D223D5">
        <w:rPr>
          <w:bCs/>
        </w:rPr>
        <w:tab/>
        <w:t>(oral)</w:t>
      </w:r>
      <w:r w:rsidRPr="00D223D5">
        <w:rPr>
          <w:bCs/>
        </w:rPr>
        <w:tab/>
      </w:r>
      <w:r w:rsidRPr="00D223D5">
        <w:rPr>
          <w:bCs/>
        </w:rPr>
        <w:tab/>
      </w:r>
      <w:r w:rsidRPr="00D223D5">
        <w:rPr>
          <w:bCs/>
        </w:rPr>
        <w:tab/>
        <w:t>2001 Aids</w:t>
      </w:r>
      <w:r w:rsidRPr="00D223D5">
        <w:rPr>
          <w:bCs/>
        </w:rPr>
        <w:br/>
        <w:t>(not registered for SCT)</w:t>
      </w:r>
      <w:r w:rsidRPr="00D223D5">
        <w:rPr>
          <w:bCs/>
        </w:rPr>
        <w:tab/>
      </w:r>
      <w:r w:rsidRPr="00D223D5">
        <w:rPr>
          <w:bCs/>
        </w:rPr>
        <w:tab/>
      </w:r>
      <w:r w:rsidRPr="00D223D5">
        <w:rPr>
          <w:bCs/>
        </w:rPr>
        <w:tab/>
      </w:r>
      <w:r w:rsidR="00034D48" w:rsidRPr="00D223D5">
        <w:rPr>
          <w:bCs/>
        </w:rPr>
        <w:tab/>
      </w:r>
      <w:r w:rsidRPr="00D223D5">
        <w:t>2003  SOT</w:t>
      </w:r>
    </w:p>
    <w:p w14:paraId="00718DF6" w14:textId="3AFBF338" w:rsidR="001B2CD5" w:rsidRPr="00D223D5" w:rsidRDefault="001B2CD5" w:rsidP="001B2CD5">
      <w:pPr>
        <w:numPr>
          <w:ilvl w:val="0"/>
          <w:numId w:val="4"/>
        </w:numPr>
      </w:pPr>
      <w:r w:rsidRPr="00D223D5">
        <w:t>Fomivirsen</w:t>
      </w:r>
      <w:r w:rsidRPr="00D223D5">
        <w:tab/>
      </w:r>
      <w:r w:rsidRPr="00D223D5">
        <w:tab/>
        <w:t xml:space="preserve">(intravitreal) </w:t>
      </w:r>
      <w:r w:rsidRPr="00D223D5">
        <w:tab/>
      </w:r>
      <w:r w:rsidRPr="00D223D5">
        <w:tab/>
        <w:t>1998*</w:t>
      </w:r>
    </w:p>
    <w:p w14:paraId="1F5FD815" w14:textId="77777777" w:rsidR="001B2CD5" w:rsidRPr="00D223D5" w:rsidRDefault="001B2CD5" w:rsidP="001B2CD5">
      <w:r w:rsidRPr="00D223D5">
        <w:rPr>
          <w:bCs/>
        </w:rPr>
        <w:t>Low potency</w:t>
      </w:r>
    </w:p>
    <w:p w14:paraId="3AF15C92" w14:textId="0DF62234" w:rsidR="001B2CD5" w:rsidRPr="00D223D5" w:rsidRDefault="001B2CD5" w:rsidP="001B2CD5">
      <w:pPr>
        <w:numPr>
          <w:ilvl w:val="0"/>
          <w:numId w:val="5"/>
        </w:numPr>
      </w:pPr>
      <w:r w:rsidRPr="00D223D5">
        <w:rPr>
          <w:bCs/>
        </w:rPr>
        <w:t>Acyclovir</w:t>
      </w:r>
      <w:r w:rsidRPr="00D223D5">
        <w:rPr>
          <w:bCs/>
        </w:rPr>
        <w:tab/>
      </w:r>
      <w:r w:rsidRPr="00D223D5">
        <w:rPr>
          <w:bCs/>
        </w:rPr>
        <w:tab/>
      </w:r>
      <w:r w:rsidRPr="00D223D5">
        <w:rPr>
          <w:bCs/>
        </w:rPr>
        <w:tab/>
        <w:t>(oral, iv)</w:t>
      </w:r>
      <w:r w:rsidRPr="00D223D5">
        <w:rPr>
          <w:bCs/>
        </w:rPr>
        <w:tab/>
      </w:r>
      <w:r w:rsidRPr="00D223D5">
        <w:rPr>
          <w:bCs/>
        </w:rPr>
        <w:tab/>
        <w:t>1982</w:t>
      </w:r>
    </w:p>
    <w:p w14:paraId="58792232" w14:textId="0DF0E831" w:rsidR="001B2CD5" w:rsidRPr="00D223D5" w:rsidRDefault="00D14891" w:rsidP="001B2CD5">
      <w:pPr>
        <w:numPr>
          <w:ilvl w:val="0"/>
          <w:numId w:val="5"/>
        </w:numPr>
      </w:pPr>
      <w:r w:rsidRPr="00D223D5">
        <w:rPr>
          <w:bCs/>
        </w:rPr>
        <w:t>Valacy</w:t>
      </w:r>
      <w:r w:rsidR="001B2CD5" w:rsidRPr="00D223D5">
        <w:rPr>
          <w:bCs/>
        </w:rPr>
        <w:t xml:space="preserve">clovir </w:t>
      </w:r>
      <w:r w:rsidR="001B2CD5" w:rsidRPr="00D223D5">
        <w:rPr>
          <w:bCs/>
        </w:rPr>
        <w:tab/>
      </w:r>
      <w:r w:rsidR="001B2CD5" w:rsidRPr="00D223D5">
        <w:rPr>
          <w:bCs/>
        </w:rPr>
        <w:tab/>
        <w:t>(oral)</w:t>
      </w:r>
      <w:r w:rsidR="001B2CD5" w:rsidRPr="00D223D5">
        <w:rPr>
          <w:bCs/>
        </w:rPr>
        <w:tab/>
      </w:r>
      <w:r w:rsidR="001B2CD5" w:rsidRPr="00D223D5">
        <w:rPr>
          <w:bCs/>
        </w:rPr>
        <w:tab/>
      </w:r>
      <w:r w:rsidR="001B2CD5" w:rsidRPr="00D223D5">
        <w:rPr>
          <w:bCs/>
        </w:rPr>
        <w:tab/>
        <w:t>1995</w:t>
      </w:r>
    </w:p>
    <w:p w14:paraId="6EAE731F" w14:textId="77777777" w:rsidR="001B2CD5" w:rsidRPr="00D223D5" w:rsidRDefault="001B2CD5" w:rsidP="001B2CD5"/>
    <w:p w14:paraId="3A21AF88" w14:textId="77777777" w:rsidR="001B2CD5" w:rsidRPr="00D223D5" w:rsidRDefault="001B2CD5" w:rsidP="001B2CD5">
      <w:r w:rsidRPr="00D223D5">
        <w:t>* Was voluntarily withdrawn from the European market in  2002</w:t>
      </w:r>
    </w:p>
    <w:p w14:paraId="11602EFD" w14:textId="7F625BA7" w:rsidR="00BE1E64" w:rsidRPr="00D223D5" w:rsidRDefault="00BE1E64" w:rsidP="00BE1E64">
      <w:pPr>
        <w:rPr>
          <w:b/>
        </w:rPr>
      </w:pPr>
    </w:p>
    <w:p w14:paraId="416EA588" w14:textId="77777777" w:rsidR="008F64AE" w:rsidRPr="00D223D5" w:rsidRDefault="002F7276" w:rsidP="002F7276">
      <w:r w:rsidRPr="00D223D5">
        <w:t xml:space="preserve"> </w:t>
      </w:r>
    </w:p>
    <w:p w14:paraId="0D341A3D" w14:textId="77777777" w:rsidR="008F64AE" w:rsidRPr="00D223D5" w:rsidRDefault="008F64AE">
      <w:r w:rsidRPr="00D223D5">
        <w:br w:type="page"/>
      </w:r>
    </w:p>
    <w:p w14:paraId="544CA68E" w14:textId="4CD11C36" w:rsidR="002F7276" w:rsidRPr="00D223D5" w:rsidRDefault="00075F59" w:rsidP="002F7276">
      <w:pPr>
        <w:rPr>
          <w:b/>
        </w:rPr>
      </w:pPr>
      <w:r w:rsidRPr="00D223D5">
        <w:rPr>
          <w:b/>
        </w:rPr>
        <w:t xml:space="preserve">Table 6  </w:t>
      </w:r>
      <w:r w:rsidR="0053341B" w:rsidRPr="00D223D5">
        <w:rPr>
          <w:b/>
        </w:rPr>
        <w:tab/>
      </w:r>
      <w:r w:rsidRPr="00D223D5">
        <w:rPr>
          <w:b/>
        </w:rPr>
        <w:t>New anti-CMV antivirals</w:t>
      </w:r>
    </w:p>
    <w:tbl>
      <w:tblPr>
        <w:tblpPr w:leftFromText="141" w:rightFromText="141" w:vertAnchor="text" w:horzAnchor="page" w:tblpXSpec="center" w:tblpY="37"/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276"/>
        <w:gridCol w:w="2835"/>
        <w:gridCol w:w="2410"/>
      </w:tblGrid>
      <w:tr w:rsidR="004F26EB" w:rsidRPr="00D223D5" w14:paraId="6E271834" w14:textId="77777777" w:rsidTr="00CE03DB">
        <w:trPr>
          <w:trHeight w:hRule="exact" w:val="1007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7803D916" w14:textId="38D1EC88" w:rsidR="00B41ACB" w:rsidRPr="00D223D5" w:rsidRDefault="00B41ACB" w:rsidP="004F26EB">
            <w:pPr>
              <w:widowControl w:val="0"/>
              <w:autoSpaceDE w:val="0"/>
              <w:autoSpaceDN w:val="0"/>
              <w:adjustRightInd w:val="0"/>
              <w:ind w:left="121" w:right="-20"/>
              <w:jc w:val="center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1"/>
                <w:sz w:val="22"/>
                <w:szCs w:val="22"/>
              </w:rPr>
              <w:t>Drug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46AC252A" w14:textId="2EB6ABBE" w:rsidR="00B41ACB" w:rsidRPr="00D223D5" w:rsidRDefault="00B41ACB" w:rsidP="004F26E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8"/>
                <w:sz w:val="22"/>
                <w:szCs w:val="22"/>
              </w:rPr>
              <w:t>Mechanism of action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7A5E7355" w14:textId="44C0607E" w:rsidR="00B41ACB" w:rsidRPr="00D223D5" w:rsidRDefault="00B41ACB" w:rsidP="004F26E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Route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420D05E7" w14:textId="0D20E532" w:rsidR="00B41ACB" w:rsidRPr="00D223D5" w:rsidRDefault="004F26EB" w:rsidP="004F26EB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>Spectrum</w:t>
            </w:r>
          </w:p>
        </w:tc>
        <w:tc>
          <w:tcPr>
            <w:tcW w:w="5245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147B8C54" w14:textId="6076A10B" w:rsidR="00B41ACB" w:rsidRPr="00D223D5" w:rsidRDefault="00B41ACB" w:rsidP="004F26EB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>Prophylactic studies in allogeneic SCT</w:t>
            </w:r>
          </w:p>
          <w:p w14:paraId="72422234" w14:textId="4EA21F77" w:rsidR="00B41ACB" w:rsidRPr="00D223D5" w:rsidRDefault="00B41ACB" w:rsidP="004F26EB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 xml:space="preserve">Phase II </w:t>
            </w:r>
            <w:r w:rsidR="004F26EB"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ab/>
            </w:r>
            <w:r w:rsidR="004F26EB"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ab/>
            </w:r>
            <w:r w:rsidR="004F26EB"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ab/>
              <w:t>Phase III</w:t>
            </w:r>
          </w:p>
        </w:tc>
      </w:tr>
      <w:tr w:rsidR="004F26EB" w:rsidRPr="00D223D5" w14:paraId="2507A804" w14:textId="77777777" w:rsidTr="00CE03DB">
        <w:trPr>
          <w:trHeight w:hRule="exact" w:val="1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F1F78" w14:textId="179A707A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21" w:right="57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91"/>
                <w:sz w:val="22"/>
                <w:szCs w:val="22"/>
              </w:rPr>
              <w:t>Maribavir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589EE" w14:textId="213007A1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UL 97 inhibition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91FD1" w14:textId="2FC25331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31BAB" w14:textId="30E0B1A3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21" w:right="113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CMV and EBV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7EBEC" w14:textId="210A8A3E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21" w:right="113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Winston DJ, 2008</w:t>
            </w:r>
            <w:r w:rsidR="002678A5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(98</w:t>
            </w:r>
            <w:r w:rsidR="00CE03D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)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: 111 patients</w:t>
            </w:r>
          </w:p>
          <w:p w14:paraId="22BC61A3" w14:textId="2852B055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Primary end-point: 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Success</w:t>
            </w:r>
          </w:p>
          <w:p w14:paraId="2FFA60D7" w14:textId="643C03CE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Failures: 7% 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vs.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46% placebo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50BF0" w14:textId="0155B399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Marty FM, 2011</w:t>
            </w:r>
            <w:r w:rsidR="00CE03D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(4)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: 681 patients</w:t>
            </w:r>
          </w:p>
          <w:p w14:paraId="447058B3" w14:textId="1919F37A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Primary end-point: Failure</w:t>
            </w:r>
          </w:p>
        </w:tc>
      </w:tr>
      <w:tr w:rsidR="004F26EB" w:rsidRPr="00D223D5" w14:paraId="52CFF119" w14:textId="77777777" w:rsidTr="00CE03DB">
        <w:trPr>
          <w:trHeight w:hRule="exact" w:val="1706"/>
          <w:jc w:val="center"/>
        </w:trPr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BC4495" w14:textId="1AD9C75F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21" w:right="57"/>
              <w:jc w:val="center"/>
              <w:rPr>
                <w:rFonts w:ascii="Cambria" w:hAnsi="Cambria"/>
                <w:color w:val="000000" w:themeColor="text1"/>
                <w:sz w:val="22"/>
                <w:szCs w:val="22"/>
                <w:vertAlign w:val="superscript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8"/>
                <w:sz w:val="22"/>
                <w:szCs w:val="22"/>
              </w:rPr>
              <w:t>Brincidofovir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00C73" w14:textId="67090CCA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01" w:right="-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Viral DNA polymerase inhibition (UL 54)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35858" w14:textId="4CFE43CF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Oral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E9F0E" w14:textId="4DC6B373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21" w:right="113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The broadest (CMV, EBV, adenovirus,…)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344B5" w14:textId="17873FC6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121" w:right="113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Marty FM, 2013</w:t>
            </w:r>
            <w:r w:rsidR="00CE03D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(5)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: 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230 pat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ients</w:t>
            </w:r>
          </w:p>
          <w:p w14:paraId="6AA22649" w14:textId="39550217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Primary end-point: 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Success</w:t>
            </w:r>
          </w:p>
          <w:p w14:paraId="69A3B6DA" w14:textId="732B7DED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Failures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: 10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% 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vs.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37% placebo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395B4" w14:textId="0E7955FB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Marty FM, 2016</w:t>
            </w:r>
            <w:r w:rsidR="002678A5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(99</w:t>
            </w:r>
            <w:r w:rsidR="00CE03D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)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: 458 pa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tients</w:t>
            </w:r>
          </w:p>
          <w:p w14:paraId="14671CFE" w14:textId="62CD0D33" w:rsidR="00B41ACB" w:rsidRPr="00D223D5" w:rsidRDefault="00B41ACB" w:rsidP="00F17133">
            <w:pPr>
              <w:widowControl w:val="0"/>
              <w:autoSpaceDE w:val="0"/>
              <w:autoSpaceDN w:val="0"/>
              <w:adjustRightInd w:val="0"/>
              <w:ind w:left="94" w:right="57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Primary- end-point: 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F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ailure</w:t>
            </w:r>
          </w:p>
        </w:tc>
      </w:tr>
      <w:tr w:rsidR="004F26EB" w:rsidRPr="00D223D5" w14:paraId="07256B7B" w14:textId="77777777" w:rsidTr="00CE03DB">
        <w:trPr>
          <w:trHeight w:hRule="exact" w:val="1572"/>
          <w:jc w:val="center"/>
        </w:trPr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612819" w14:textId="075DB461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ind w:left="121" w:right="57"/>
              <w:jc w:val="center"/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</w:pPr>
            <w:r w:rsidRPr="00D223D5">
              <w:rPr>
                <w:rFonts w:ascii="Cambria" w:hAnsi="Cambria" w:cs="Arial"/>
                <w:b/>
                <w:color w:val="000000" w:themeColor="text1"/>
                <w:w w:val="86"/>
                <w:sz w:val="22"/>
                <w:szCs w:val="22"/>
              </w:rPr>
              <w:t>Letermovir</w:t>
            </w:r>
          </w:p>
          <w:p w14:paraId="404BFCA8" w14:textId="38A8231B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ind w:left="121" w:right="57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88E00" w14:textId="084FC3A1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25" w:lineRule="auto"/>
              <w:ind w:left="222" w:right="334" w:hanging="121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CMV terminase complex inhibition (UL 56)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E3C09" w14:textId="1AC777F8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Oral</w:t>
            </w:r>
          </w:p>
          <w:p w14:paraId="34DC6F17" w14:textId="517C4134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22" w:right="-20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&amp; iv</w:t>
            </w:r>
          </w:p>
          <w:p w14:paraId="6B22F4C6" w14:textId="77777777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25" w:lineRule="auto"/>
              <w:ind w:left="222" w:right="334" w:hanging="121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26BE9" w14:textId="657AC801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25" w:lineRule="auto"/>
              <w:ind w:left="222" w:right="334" w:hanging="121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CMV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CB09" w14:textId="251A69B3" w:rsidR="004F26EB" w:rsidRPr="00D223D5" w:rsidRDefault="00CE03DB" w:rsidP="00F17133">
            <w:pPr>
              <w:widowControl w:val="0"/>
              <w:autoSpaceDE w:val="0"/>
              <w:autoSpaceDN w:val="0"/>
              <w:adjustRightInd w:val="0"/>
              <w:ind w:left="121" w:right="113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Chemaly RF, 2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014</w:t>
            </w: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 xml:space="preserve"> (6)</w:t>
            </w:r>
            <w:r w:rsidR="004F26EB"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: 132 patients</w:t>
            </w:r>
          </w:p>
          <w:p w14:paraId="76BA85B9" w14:textId="7F4E246E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ind w:left="121" w:right="113"/>
              <w:jc w:val="center"/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Primary end-point: Success</w:t>
            </w:r>
          </w:p>
          <w:p w14:paraId="6CA8F67A" w14:textId="6AF4395C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57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w w:val="73"/>
                <w:sz w:val="22"/>
                <w:szCs w:val="22"/>
              </w:rPr>
              <w:t>Failures: 29% vs. 64% placebo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D1759" w14:textId="7933BBC5" w:rsidR="004F26EB" w:rsidRPr="00D223D5" w:rsidRDefault="004F26EB" w:rsidP="00F17133">
            <w:pPr>
              <w:widowControl w:val="0"/>
              <w:autoSpaceDE w:val="0"/>
              <w:autoSpaceDN w:val="0"/>
              <w:adjustRightInd w:val="0"/>
              <w:spacing w:line="230" w:lineRule="exact"/>
              <w:ind w:left="215" w:right="57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D223D5">
              <w:rPr>
                <w:rFonts w:ascii="Cambria" w:hAnsi="Cambria" w:cs="Arial"/>
                <w:color w:val="000000" w:themeColor="text1"/>
                <w:sz w:val="22"/>
                <w:szCs w:val="22"/>
              </w:rPr>
              <w:t>Ongoing</w:t>
            </w:r>
          </w:p>
        </w:tc>
      </w:tr>
    </w:tbl>
    <w:p w14:paraId="1216AA11" w14:textId="36B1FE6F" w:rsidR="00075F59" w:rsidRPr="00D223D5" w:rsidRDefault="00075F59" w:rsidP="002F7276">
      <w:pPr>
        <w:rPr>
          <w:b/>
        </w:rPr>
      </w:pPr>
    </w:p>
    <w:p w14:paraId="1DAF68D2" w14:textId="77777777" w:rsidR="00E52640" w:rsidRPr="00D223D5" w:rsidRDefault="00E52640" w:rsidP="002F7276">
      <w:pPr>
        <w:rPr>
          <w:b/>
        </w:rPr>
      </w:pPr>
    </w:p>
    <w:sectPr w:rsidR="00E52640" w:rsidRPr="00D223D5" w:rsidSect="00E40C89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60BD"/>
    <w:multiLevelType w:val="hybridMultilevel"/>
    <w:tmpl w:val="FE442FE2"/>
    <w:lvl w:ilvl="0" w:tplc="56E038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E421A4">
      <w:start w:val="25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EF2612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7CAD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5EF1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59A38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5AB7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1A78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1944A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100C40F6"/>
    <w:multiLevelType w:val="hybridMultilevel"/>
    <w:tmpl w:val="ADE247CC"/>
    <w:lvl w:ilvl="0" w:tplc="F4D2C7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F4732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FCB8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BC6D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DEFC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B246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8C7B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926E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B678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236F161D"/>
    <w:multiLevelType w:val="hybridMultilevel"/>
    <w:tmpl w:val="265E5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38764F"/>
    <w:multiLevelType w:val="hybridMultilevel"/>
    <w:tmpl w:val="0C5ECE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9E4693"/>
    <w:multiLevelType w:val="hybridMultilevel"/>
    <w:tmpl w:val="7E644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3A"/>
    <w:rsid w:val="00034D48"/>
    <w:rsid w:val="00075F59"/>
    <w:rsid w:val="0008277A"/>
    <w:rsid w:val="000E4AA7"/>
    <w:rsid w:val="001272BC"/>
    <w:rsid w:val="001B2CD5"/>
    <w:rsid w:val="00255CFB"/>
    <w:rsid w:val="002678A5"/>
    <w:rsid w:val="00270BAA"/>
    <w:rsid w:val="002A23E3"/>
    <w:rsid w:val="002B4C07"/>
    <w:rsid w:val="002F7276"/>
    <w:rsid w:val="00323DBB"/>
    <w:rsid w:val="00353718"/>
    <w:rsid w:val="003576C2"/>
    <w:rsid w:val="003E497D"/>
    <w:rsid w:val="00494DDD"/>
    <w:rsid w:val="004F26EB"/>
    <w:rsid w:val="0053341B"/>
    <w:rsid w:val="005378D3"/>
    <w:rsid w:val="00566186"/>
    <w:rsid w:val="005C2CA3"/>
    <w:rsid w:val="005F67B8"/>
    <w:rsid w:val="0061407A"/>
    <w:rsid w:val="00645CE7"/>
    <w:rsid w:val="006D6144"/>
    <w:rsid w:val="006E025F"/>
    <w:rsid w:val="00707E42"/>
    <w:rsid w:val="00722858"/>
    <w:rsid w:val="007D38C5"/>
    <w:rsid w:val="007F023D"/>
    <w:rsid w:val="008361EC"/>
    <w:rsid w:val="008467C4"/>
    <w:rsid w:val="008533EB"/>
    <w:rsid w:val="008F16F2"/>
    <w:rsid w:val="008F64AE"/>
    <w:rsid w:val="009129EC"/>
    <w:rsid w:val="009954E5"/>
    <w:rsid w:val="009B7696"/>
    <w:rsid w:val="00A47668"/>
    <w:rsid w:val="00AB5B65"/>
    <w:rsid w:val="00B16F84"/>
    <w:rsid w:val="00B41ACB"/>
    <w:rsid w:val="00B510A2"/>
    <w:rsid w:val="00B5391B"/>
    <w:rsid w:val="00BE1E64"/>
    <w:rsid w:val="00CE03DB"/>
    <w:rsid w:val="00D14891"/>
    <w:rsid w:val="00D223D5"/>
    <w:rsid w:val="00D81064"/>
    <w:rsid w:val="00DD3149"/>
    <w:rsid w:val="00E16944"/>
    <w:rsid w:val="00E40C89"/>
    <w:rsid w:val="00E52640"/>
    <w:rsid w:val="00EC1D2A"/>
    <w:rsid w:val="00F051D2"/>
    <w:rsid w:val="00F17133"/>
    <w:rsid w:val="00F31553"/>
    <w:rsid w:val="00FA3F3A"/>
    <w:rsid w:val="00FB3F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5AC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9"/>
    <w:rPr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858"/>
    <w:pPr>
      <w:spacing w:before="100" w:beforeAutospacing="1" w:after="100" w:afterAutospacing="1"/>
    </w:pPr>
    <w:rPr>
      <w:rFonts w:ascii="Times" w:hAnsi="Times" w:cs="Times New Roman"/>
      <w:sz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9"/>
    <w:rPr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858"/>
    <w:pPr>
      <w:spacing w:before="100" w:beforeAutospacing="1" w:after="100" w:afterAutospacing="1"/>
    </w:pPr>
    <w:rPr>
      <w:rFonts w:ascii="Times" w:hAnsi="Times" w:cs="Times New Roman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4681</Characters>
  <Application>Microsoft Macintosh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la Camara</dc:creator>
  <cp:keywords/>
  <dc:description/>
  <cp:lastModifiedBy>Rafael de la Camara</cp:lastModifiedBy>
  <cp:revision>3</cp:revision>
  <dcterms:created xsi:type="dcterms:W3CDTF">2016-05-16T10:14:00Z</dcterms:created>
  <dcterms:modified xsi:type="dcterms:W3CDTF">2016-05-16T10:15:00Z</dcterms:modified>
</cp:coreProperties>
</file>